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F5F1B" w14:textId="1FD8DD8A" w:rsidR="00F16E6F" w:rsidRPr="00405707" w:rsidRDefault="00F16E6F" w:rsidP="00405707">
      <w:pPr>
        <w:spacing w:line="240" w:lineRule="auto"/>
        <w:jc w:val="center"/>
        <w:rPr>
          <w:rFonts w:ascii="Times New Roman" w:hAnsi="Times New Roman" w:cs="Times New Roman"/>
          <w:sz w:val="28"/>
          <w:szCs w:val="28"/>
        </w:rPr>
      </w:pPr>
      <w:r w:rsidRPr="00405707">
        <w:rPr>
          <w:rFonts w:ascii="Times New Roman" w:hAnsi="Times New Roman" w:cs="Times New Roman"/>
          <w:sz w:val="28"/>
          <w:szCs w:val="28"/>
        </w:rPr>
        <w:t xml:space="preserve">CHAPTER </w:t>
      </w:r>
      <w:proofErr w:type="gramStart"/>
      <w:r w:rsidRPr="00405707">
        <w:rPr>
          <w:rFonts w:ascii="Times New Roman" w:hAnsi="Times New Roman" w:cs="Times New Roman"/>
          <w:sz w:val="28"/>
          <w:szCs w:val="28"/>
        </w:rPr>
        <w:t>FIVE  (</w:t>
      </w:r>
      <w:proofErr w:type="gramEnd"/>
      <w:r w:rsidRPr="00405707">
        <w:rPr>
          <w:rFonts w:ascii="Times New Roman" w:hAnsi="Times New Roman" w:cs="Times New Roman"/>
          <w:sz w:val="28"/>
          <w:szCs w:val="28"/>
        </w:rPr>
        <w:t xml:space="preserve">From </w:t>
      </w:r>
      <w:r w:rsidRPr="00405707">
        <w:rPr>
          <w:rFonts w:ascii="Times New Roman" w:hAnsi="Times New Roman" w:cs="Times New Roman"/>
          <w:i/>
          <w:iCs/>
          <w:sz w:val="28"/>
          <w:szCs w:val="28"/>
        </w:rPr>
        <w:t>Relational Heart of Gestalt Therapy</w:t>
      </w:r>
      <w:r w:rsidRPr="00405707">
        <w:rPr>
          <w:rFonts w:ascii="Times New Roman" w:hAnsi="Times New Roman" w:cs="Times New Roman"/>
          <w:sz w:val="28"/>
          <w:szCs w:val="28"/>
        </w:rPr>
        <w:t>, ed. Peter Cole, Routledge, 2022)</w:t>
      </w:r>
    </w:p>
    <w:p w14:paraId="48D057CA" w14:textId="5B9ED212" w:rsidR="00F16E6F" w:rsidRPr="00405707" w:rsidRDefault="005B413E" w:rsidP="00405707">
      <w:pPr>
        <w:spacing w:line="240" w:lineRule="auto"/>
        <w:jc w:val="center"/>
        <w:rPr>
          <w:rFonts w:ascii="Times New Roman" w:hAnsi="Times New Roman" w:cs="Times New Roman"/>
          <w:sz w:val="28"/>
          <w:szCs w:val="28"/>
        </w:rPr>
      </w:pPr>
      <w:r>
        <w:rPr>
          <w:rFonts w:ascii="Times New Roman" w:hAnsi="Times New Roman" w:cs="Times New Roman"/>
          <w:sz w:val="28"/>
          <w:szCs w:val="28"/>
        </w:rPr>
        <w:t>“</w:t>
      </w:r>
      <w:r w:rsidR="00F16E6F" w:rsidRPr="00405707">
        <w:rPr>
          <w:rFonts w:ascii="Times New Roman" w:hAnsi="Times New Roman" w:cs="Times New Roman"/>
          <w:sz w:val="28"/>
          <w:szCs w:val="28"/>
        </w:rPr>
        <w:t>To Hold the Hands that Hold our Hands: Responsivity of Contacting</w:t>
      </w:r>
      <w:r>
        <w:rPr>
          <w:rFonts w:ascii="Times New Roman" w:hAnsi="Times New Roman" w:cs="Times New Roman"/>
          <w:sz w:val="28"/>
          <w:szCs w:val="28"/>
        </w:rPr>
        <w:t>”</w:t>
      </w:r>
    </w:p>
    <w:p w14:paraId="7BC4B712" w14:textId="17E8C021" w:rsidR="00F16E6F" w:rsidRPr="00405707" w:rsidRDefault="00757453" w:rsidP="00405707">
      <w:pPr>
        <w:spacing w:line="240" w:lineRule="auto"/>
        <w:jc w:val="center"/>
        <w:rPr>
          <w:rFonts w:ascii="Times New Roman" w:hAnsi="Times New Roman" w:cs="Times New Roman"/>
          <w:sz w:val="28"/>
          <w:szCs w:val="28"/>
        </w:rPr>
      </w:pPr>
      <w:r>
        <w:rPr>
          <w:rFonts w:ascii="Times New Roman" w:hAnsi="Times New Roman" w:cs="Times New Roman"/>
          <w:sz w:val="28"/>
          <w:szCs w:val="28"/>
        </w:rPr>
        <w:t>©</w:t>
      </w:r>
      <w:r w:rsidR="00F16E6F" w:rsidRPr="00405707">
        <w:rPr>
          <w:rFonts w:ascii="Times New Roman" w:hAnsi="Times New Roman" w:cs="Times New Roman"/>
          <w:sz w:val="28"/>
          <w:szCs w:val="28"/>
        </w:rPr>
        <w:t>Dan Bloom</w:t>
      </w:r>
      <w:r>
        <w:rPr>
          <w:rFonts w:ascii="Times New Roman" w:hAnsi="Times New Roman" w:cs="Times New Roman"/>
          <w:sz w:val="28"/>
          <w:szCs w:val="28"/>
        </w:rPr>
        <w:t>2022</w:t>
      </w:r>
    </w:p>
    <w:p w14:paraId="44B033D0" w14:textId="4CEC9DF6" w:rsidR="00F16E6F" w:rsidRPr="005B413E" w:rsidRDefault="005B413E" w:rsidP="005B413E">
      <w:pPr>
        <w:pStyle w:val="Bibliography"/>
        <w:ind w:left="180"/>
        <w:jc w:val="center"/>
        <w:rPr>
          <w:rFonts w:ascii="Times New Roman" w:hAnsi="Times New Roman"/>
          <w:color w:val="FF0000"/>
          <w:sz w:val="28"/>
          <w:szCs w:val="28"/>
          <w:lang w:val="en-US"/>
        </w:rPr>
      </w:pPr>
      <w:r w:rsidRPr="005B413E">
        <w:rPr>
          <w:rFonts w:ascii="Times New Roman" w:hAnsi="Times New Roman"/>
          <w:color w:val="FF0000"/>
          <w:sz w:val="28"/>
          <w:szCs w:val="28"/>
          <w:lang w:val="en-US"/>
        </w:rPr>
        <w:t>Pre-publication version</w:t>
      </w:r>
    </w:p>
    <w:p w14:paraId="36C07939" w14:textId="77777777" w:rsidR="00F16E6F" w:rsidRPr="00405707" w:rsidRDefault="00F16E6F" w:rsidP="00405707">
      <w:pPr>
        <w:pStyle w:val="Bibliography"/>
        <w:ind w:left="180"/>
        <w:rPr>
          <w:rFonts w:ascii="Times New Roman" w:hAnsi="Times New Roman"/>
          <w:sz w:val="28"/>
          <w:szCs w:val="28"/>
          <w:lang w:val="en-US"/>
        </w:rPr>
      </w:pPr>
    </w:p>
    <w:p w14:paraId="10F73E33" w14:textId="77777777" w:rsidR="00F16E6F" w:rsidRPr="00405707" w:rsidRDefault="00F16E6F" w:rsidP="00405707">
      <w:pPr>
        <w:pStyle w:val="Bibliography"/>
        <w:ind w:left="180" w:firstLine="540"/>
        <w:rPr>
          <w:rFonts w:ascii="Times New Roman" w:hAnsi="Times New Roman"/>
          <w:sz w:val="28"/>
          <w:szCs w:val="28"/>
          <w:lang w:val="en-US"/>
        </w:rPr>
      </w:pPr>
      <w:r w:rsidRPr="00405707">
        <w:rPr>
          <w:rFonts w:ascii="Times New Roman" w:hAnsi="Times New Roman"/>
          <w:sz w:val="28"/>
          <w:szCs w:val="28"/>
          <w:lang w:val="en-US"/>
        </w:rPr>
        <w:t xml:space="preserve">Touch touching touch being touched. Gestalt therapy has much to say about this. Copernicus moved the earth from its privileged place at the center of the solar system and showed how it revolved around the sun as one planet in relation to the others. (Bloom, 2009) The so-called “relational turn” </w:t>
      </w:r>
      <w:r w:rsidRPr="00405707">
        <w:rPr>
          <w:rFonts w:ascii="Times New Roman" w:hAnsi="Times New Roman"/>
          <w:noProof/>
          <w:sz w:val="28"/>
          <w:szCs w:val="28"/>
          <w:lang w:val="en-US"/>
        </w:rPr>
        <w:t>(see, for example, Yontef, 1993;Jacobs &amp; Hycner, 2009;</w:t>
      </w:r>
      <w:r w:rsidRPr="00405707">
        <w:rPr>
          <w:rFonts w:ascii="Times New Roman" w:hAnsi="Times New Roman"/>
          <w:sz w:val="28"/>
          <w:szCs w:val="28"/>
          <w:lang w:val="en-US"/>
        </w:rPr>
        <w:t xml:space="preserve"> </w:t>
      </w:r>
      <w:r w:rsidRPr="00405707">
        <w:rPr>
          <w:rFonts w:ascii="Times New Roman" w:hAnsi="Times New Roman"/>
          <w:noProof/>
          <w:sz w:val="28"/>
          <w:szCs w:val="28"/>
          <w:lang w:val="en-US"/>
        </w:rPr>
        <w:t>Jacobs, 2019)</w:t>
      </w:r>
      <w:r w:rsidRPr="00405707">
        <w:rPr>
          <w:rFonts w:ascii="Times New Roman" w:hAnsi="Times New Roman"/>
          <w:sz w:val="28"/>
          <w:szCs w:val="28"/>
          <w:lang w:val="en-US"/>
        </w:rPr>
        <w:t xml:space="preserve"> in Gestalt therapy, while surely not the earthquake of a “Copernican Revolution,” nevertheless marked the emergence of a new paradigm.  Gestalt therapy pivoted from a focus on the dynamics of a single person to the experiences of persons-in-relation, from an intrapsychic to an intersubjective model.  The individual is not the center of the universe but is a person-in-relation. There have since been turns within turns within turns – the dialogical turn, </w:t>
      </w:r>
      <w:r w:rsidRPr="00405707">
        <w:rPr>
          <w:rFonts w:ascii="Times New Roman" w:hAnsi="Times New Roman"/>
          <w:noProof/>
          <w:sz w:val="28"/>
          <w:szCs w:val="28"/>
          <w:lang w:val="en-US"/>
        </w:rPr>
        <w:t>(Hycner, 1985;</w:t>
      </w:r>
      <w:r w:rsidRPr="00405707">
        <w:rPr>
          <w:rFonts w:ascii="Times New Roman" w:hAnsi="Times New Roman"/>
          <w:sz w:val="28"/>
          <w:szCs w:val="28"/>
          <w:lang w:val="en-US"/>
        </w:rPr>
        <w:t xml:space="preserve"> Yontef, 1993</w:t>
      </w:r>
      <w:r w:rsidRPr="00405707">
        <w:rPr>
          <w:rFonts w:ascii="Times New Roman" w:hAnsi="Times New Roman"/>
          <w:noProof/>
          <w:sz w:val="28"/>
          <w:szCs w:val="28"/>
          <w:lang w:val="en-US"/>
        </w:rPr>
        <w:t>)</w:t>
      </w:r>
      <w:r w:rsidRPr="00405707">
        <w:rPr>
          <w:rFonts w:ascii="Times New Roman" w:hAnsi="Times New Roman"/>
          <w:sz w:val="28"/>
          <w:szCs w:val="28"/>
          <w:lang w:val="en-US"/>
        </w:rPr>
        <w:t xml:space="preserve"> the aesthetic turn, </w:t>
      </w:r>
      <w:r w:rsidRPr="00405707">
        <w:rPr>
          <w:rFonts w:ascii="Times New Roman" w:hAnsi="Times New Roman"/>
          <w:noProof/>
          <w:sz w:val="28"/>
          <w:szCs w:val="28"/>
          <w:lang w:val="en-US"/>
        </w:rPr>
        <w:t>(M Spagnuolo Lobb &amp; Amendt-Lyon, 2003;Spagnuolo Lobb, 2014)</w:t>
      </w:r>
      <w:r w:rsidRPr="00405707">
        <w:rPr>
          <w:rFonts w:ascii="Times New Roman" w:hAnsi="Times New Roman"/>
          <w:sz w:val="28"/>
          <w:szCs w:val="28"/>
          <w:lang w:val="en-US"/>
        </w:rPr>
        <w:t xml:space="preserve"> </w:t>
      </w:r>
      <w:r w:rsidRPr="00405707">
        <w:rPr>
          <w:rFonts w:ascii="Times New Roman" w:hAnsi="Times New Roman"/>
          <w:noProof/>
          <w:sz w:val="28"/>
          <w:szCs w:val="28"/>
          <w:lang w:val="en-US"/>
        </w:rPr>
        <w:t>the</w:t>
      </w:r>
      <w:r w:rsidRPr="00405707">
        <w:rPr>
          <w:rFonts w:ascii="Times New Roman" w:hAnsi="Times New Roman"/>
          <w:sz w:val="28"/>
          <w:szCs w:val="28"/>
          <w:lang w:val="en-US"/>
        </w:rPr>
        <w:t xml:space="preserve"> aesthetic/aestheological turn, </w:t>
      </w:r>
      <w:r w:rsidRPr="00405707">
        <w:rPr>
          <w:rFonts w:ascii="Times New Roman" w:hAnsi="Times New Roman"/>
          <w:noProof/>
          <w:sz w:val="28"/>
          <w:szCs w:val="28"/>
          <w:lang w:val="en-US"/>
        </w:rPr>
        <w:t xml:space="preserve">(Francesetti &amp; Griffero, 2019), </w:t>
      </w:r>
      <w:r w:rsidRPr="00405707">
        <w:rPr>
          <w:rFonts w:ascii="Times New Roman" w:hAnsi="Times New Roman"/>
          <w:sz w:val="28"/>
          <w:szCs w:val="28"/>
          <w:lang w:val="en-US"/>
        </w:rPr>
        <w:t xml:space="preserve">the ethical turn, </w:t>
      </w:r>
      <w:r w:rsidRPr="00405707">
        <w:rPr>
          <w:rFonts w:ascii="Times New Roman" w:hAnsi="Times New Roman"/>
          <w:noProof/>
          <w:sz w:val="28"/>
          <w:szCs w:val="28"/>
          <w:lang w:val="en-US"/>
        </w:rPr>
        <w:t>(Bloom, 2013)</w:t>
      </w:r>
      <w:r w:rsidRPr="00405707">
        <w:rPr>
          <w:rFonts w:ascii="Times New Roman" w:hAnsi="Times New Roman"/>
          <w:sz w:val="28"/>
          <w:szCs w:val="28"/>
          <w:lang w:val="en-US"/>
        </w:rPr>
        <w:t xml:space="preserve"> and the pathic turn </w:t>
      </w:r>
      <w:r w:rsidRPr="00405707">
        <w:rPr>
          <w:rFonts w:ascii="Times New Roman" w:hAnsi="Times New Roman"/>
          <w:noProof/>
          <w:sz w:val="28"/>
          <w:szCs w:val="28"/>
          <w:lang w:val="en-US"/>
        </w:rPr>
        <w:t>(Francesetti, 2015b).</w:t>
      </w:r>
      <w:r w:rsidRPr="00405707">
        <w:rPr>
          <w:rFonts w:ascii="Times New Roman" w:hAnsi="Times New Roman"/>
          <w:sz w:val="28"/>
          <w:szCs w:val="28"/>
          <w:lang w:val="en-US"/>
        </w:rPr>
        <w:t xml:space="preserve"> It seems that once spun on its axis, there are no limits to Gestalt therapy’s spins.  And this ought to be so long as each turn broadens Gestalt therapy’s perspective.  Each time it pivots, Gestalt therapy re-orients to the needs of specific clinical, social, political, or cultural conditions. In this chapter I offer a nudge to Gestalt therapy’s spin by looking at the responsivity of contacting.</w:t>
      </w:r>
    </w:p>
    <w:p w14:paraId="7819F0BB" w14:textId="77777777" w:rsidR="00F16E6F" w:rsidRPr="00405707" w:rsidRDefault="00F16E6F" w:rsidP="00405707">
      <w:pPr>
        <w:spacing w:line="240" w:lineRule="auto"/>
        <w:rPr>
          <w:rFonts w:ascii="Times New Roman" w:hAnsi="Times New Roman" w:cs="Times New Roman"/>
          <w:sz w:val="28"/>
          <w:szCs w:val="28"/>
        </w:rPr>
      </w:pPr>
      <w:r w:rsidRPr="00405707">
        <w:rPr>
          <w:rFonts w:ascii="Times New Roman" w:hAnsi="Times New Roman" w:cs="Times New Roman"/>
          <w:sz w:val="28"/>
          <w:szCs w:val="28"/>
        </w:rPr>
        <w:tab/>
        <w:t>I will reconsider some of the essential concepts of the clinical phenomenology</w:t>
      </w:r>
      <w:r w:rsidRPr="00405707">
        <w:rPr>
          <w:rStyle w:val="FootnoteReference"/>
          <w:rFonts w:ascii="Times New Roman" w:hAnsi="Times New Roman" w:cs="Times New Roman"/>
          <w:sz w:val="28"/>
          <w:szCs w:val="28"/>
        </w:rPr>
        <w:footnoteReference w:id="1"/>
      </w:r>
      <w:r w:rsidRPr="00405707">
        <w:rPr>
          <w:rFonts w:ascii="Times New Roman" w:hAnsi="Times New Roman" w:cs="Times New Roman"/>
          <w:sz w:val="28"/>
          <w:szCs w:val="28"/>
        </w:rPr>
        <w:t xml:space="preserve"> of Gestalt therapy. Consequently, I will look closely at the </w:t>
      </w:r>
      <w:r w:rsidRPr="00405707">
        <w:rPr>
          <w:rFonts w:ascii="Times New Roman" w:hAnsi="Times New Roman" w:cs="Times New Roman"/>
          <w:i/>
          <w:iCs/>
          <w:sz w:val="28"/>
          <w:szCs w:val="28"/>
        </w:rPr>
        <w:t>intentionality for contacting</w:t>
      </w:r>
      <w:r w:rsidRPr="00405707">
        <w:rPr>
          <w:rFonts w:ascii="Times New Roman" w:hAnsi="Times New Roman" w:cs="Times New Roman"/>
          <w:sz w:val="28"/>
          <w:szCs w:val="28"/>
        </w:rPr>
        <w:t xml:space="preserve"> </w:t>
      </w:r>
      <w:r w:rsidRPr="00405707">
        <w:rPr>
          <w:rFonts w:ascii="Times New Roman" w:hAnsi="Times New Roman" w:cs="Times New Roman"/>
          <w:noProof/>
          <w:sz w:val="28"/>
          <w:szCs w:val="28"/>
        </w:rPr>
        <w:t xml:space="preserve">(Spagnuolo Lobb, 2014) </w:t>
      </w:r>
      <w:r w:rsidRPr="00405707">
        <w:rPr>
          <w:rFonts w:ascii="Times New Roman" w:hAnsi="Times New Roman" w:cs="Times New Roman"/>
          <w:sz w:val="28"/>
          <w:szCs w:val="28"/>
        </w:rPr>
        <w:t>in terms of its emergence of the contact-boundary of the organism/environment</w:t>
      </w:r>
      <w:r w:rsidRPr="00405707">
        <w:rPr>
          <w:rFonts w:ascii="Times New Roman" w:hAnsi="Times New Roman" w:cs="Times New Roman"/>
          <w:i/>
          <w:iCs/>
          <w:sz w:val="28"/>
          <w:szCs w:val="28"/>
        </w:rPr>
        <w:t xml:space="preserve">-lifeworld </w:t>
      </w:r>
      <w:r w:rsidRPr="00405707">
        <w:rPr>
          <w:rFonts w:ascii="Times New Roman" w:hAnsi="Times New Roman" w:cs="Times New Roman"/>
          <w:sz w:val="28"/>
          <w:szCs w:val="28"/>
        </w:rPr>
        <w:t xml:space="preserve">field.  I will present </w:t>
      </w:r>
      <w:r w:rsidRPr="00405707">
        <w:rPr>
          <w:rFonts w:ascii="Times New Roman" w:hAnsi="Times New Roman" w:cs="Times New Roman"/>
          <w:i/>
          <w:iCs/>
          <w:sz w:val="28"/>
          <w:szCs w:val="28"/>
        </w:rPr>
        <w:t>relational intentionality</w:t>
      </w:r>
      <w:r w:rsidRPr="00405707">
        <w:rPr>
          <w:rFonts w:ascii="Times New Roman" w:hAnsi="Times New Roman" w:cs="Times New Roman"/>
          <w:sz w:val="28"/>
          <w:szCs w:val="28"/>
        </w:rPr>
        <w:t xml:space="preserve"> and suggest further that relational intentionality includes not only the potential for </w:t>
      </w:r>
      <w:r w:rsidRPr="00405707">
        <w:rPr>
          <w:rFonts w:ascii="Times New Roman" w:hAnsi="Times New Roman" w:cs="Times New Roman"/>
          <w:i/>
          <w:iCs/>
          <w:sz w:val="28"/>
          <w:szCs w:val="28"/>
        </w:rPr>
        <w:t xml:space="preserve">responsivity, </w:t>
      </w:r>
      <w:r w:rsidRPr="00405707">
        <w:rPr>
          <w:rFonts w:ascii="Times New Roman" w:hAnsi="Times New Roman" w:cs="Times New Roman"/>
          <w:sz w:val="28"/>
          <w:szCs w:val="28"/>
        </w:rPr>
        <w:t xml:space="preserve">but the ability to </w:t>
      </w:r>
      <w:r w:rsidRPr="00405707">
        <w:rPr>
          <w:rFonts w:ascii="Times New Roman" w:hAnsi="Times New Roman" w:cs="Times New Roman"/>
          <w:i/>
          <w:iCs/>
          <w:sz w:val="28"/>
          <w:szCs w:val="28"/>
        </w:rPr>
        <w:t>respond</w:t>
      </w:r>
      <w:proofErr w:type="gramStart"/>
      <w:r w:rsidRPr="00405707">
        <w:rPr>
          <w:rFonts w:ascii="Times New Roman" w:hAnsi="Times New Roman" w:cs="Times New Roman"/>
          <w:i/>
          <w:iCs/>
          <w:sz w:val="28"/>
          <w:szCs w:val="28"/>
        </w:rPr>
        <w:t>)</w:t>
      </w:r>
      <w:r w:rsidRPr="00405707">
        <w:rPr>
          <w:rFonts w:ascii="Times New Roman" w:hAnsi="Times New Roman" w:cs="Times New Roman"/>
          <w:sz w:val="28"/>
          <w:szCs w:val="28"/>
        </w:rPr>
        <w:t xml:space="preserve"> ,</w:t>
      </w:r>
      <w:proofErr w:type="gramEnd"/>
      <w:r w:rsidRPr="00405707">
        <w:rPr>
          <w:rFonts w:ascii="Times New Roman" w:hAnsi="Times New Roman" w:cs="Times New Roman"/>
          <w:sz w:val="28"/>
          <w:szCs w:val="28"/>
        </w:rPr>
        <w:t xml:space="preserve"> which are at the basis for a responsivity of contacting.  This perspective on Gestalt therapy is possible within a </w:t>
      </w:r>
      <w:r w:rsidRPr="00405707">
        <w:rPr>
          <w:rFonts w:ascii="Times New Roman" w:hAnsi="Times New Roman" w:cs="Times New Roman"/>
          <w:i/>
          <w:iCs/>
          <w:sz w:val="28"/>
          <w:szCs w:val="28"/>
        </w:rPr>
        <w:t>responsive phenomenology.</w:t>
      </w:r>
      <w:r w:rsidRPr="00405707">
        <w:rPr>
          <w:rFonts w:ascii="Times New Roman" w:hAnsi="Times New Roman" w:cs="Times New Roman"/>
          <w:sz w:val="28"/>
          <w:szCs w:val="28"/>
        </w:rPr>
        <w:t xml:space="preserve"> (</w:t>
      </w:r>
      <w:r w:rsidRPr="00405707">
        <w:rPr>
          <w:rFonts w:ascii="Times New Roman" w:hAnsi="Times New Roman" w:cs="Times New Roman"/>
          <w:noProof/>
          <w:sz w:val="28"/>
          <w:szCs w:val="28"/>
        </w:rPr>
        <w:t>Waldenfels, 1996; Waldenfels, 2011; Waldenfels, 2016)</w:t>
      </w:r>
      <w:r w:rsidRPr="00405707">
        <w:rPr>
          <w:rFonts w:ascii="Times New Roman" w:hAnsi="Times New Roman" w:cs="Times New Roman"/>
          <w:sz w:val="28"/>
          <w:szCs w:val="28"/>
        </w:rPr>
        <w:t xml:space="preserve"> When we see relational intentionality in terms of </w:t>
      </w:r>
      <w:r w:rsidRPr="00405707">
        <w:rPr>
          <w:rFonts w:ascii="Times New Roman" w:hAnsi="Times New Roman" w:cs="Times New Roman"/>
          <w:sz w:val="28"/>
          <w:szCs w:val="28"/>
        </w:rPr>
        <w:lastRenderedPageBreak/>
        <w:t xml:space="preserve">responsive phenomenology, relationality appears </w:t>
      </w:r>
      <w:proofErr w:type="gramStart"/>
      <w:r w:rsidRPr="00405707">
        <w:rPr>
          <w:rFonts w:ascii="Times New Roman" w:hAnsi="Times New Roman" w:cs="Times New Roman"/>
          <w:sz w:val="28"/>
          <w:szCs w:val="28"/>
        </w:rPr>
        <w:t>as  being</w:t>
      </w:r>
      <w:proofErr w:type="gramEnd"/>
      <w:r w:rsidRPr="00405707">
        <w:rPr>
          <w:rFonts w:ascii="Times New Roman" w:hAnsi="Times New Roman" w:cs="Times New Roman"/>
          <w:sz w:val="28"/>
          <w:szCs w:val="28"/>
        </w:rPr>
        <w:t xml:space="preserve"> responsive to as well as responding to the other.  </w:t>
      </w:r>
    </w:p>
    <w:p w14:paraId="16353DB5" w14:textId="77777777" w:rsidR="00F16E6F" w:rsidRPr="00405707" w:rsidRDefault="00F16E6F" w:rsidP="00405707">
      <w:pPr>
        <w:spacing w:line="240" w:lineRule="auto"/>
        <w:ind w:firstLine="576"/>
        <w:rPr>
          <w:rFonts w:ascii="Times New Roman" w:hAnsi="Times New Roman" w:cs="Times New Roman"/>
          <w:sz w:val="28"/>
          <w:szCs w:val="28"/>
        </w:rPr>
      </w:pPr>
    </w:p>
    <w:p w14:paraId="138D0154" w14:textId="77777777" w:rsidR="00F16E6F" w:rsidRPr="00405707" w:rsidRDefault="00F16E6F" w:rsidP="00405707">
      <w:pPr>
        <w:spacing w:line="240" w:lineRule="auto"/>
        <w:ind w:firstLine="720"/>
        <w:rPr>
          <w:rFonts w:ascii="Times New Roman" w:hAnsi="Times New Roman" w:cs="Times New Roman"/>
          <w:sz w:val="28"/>
          <w:szCs w:val="28"/>
        </w:rPr>
      </w:pPr>
      <w:r w:rsidRPr="00405707">
        <w:rPr>
          <w:rFonts w:ascii="Times New Roman" w:hAnsi="Times New Roman" w:cs="Times New Roman"/>
          <w:sz w:val="28"/>
          <w:szCs w:val="28"/>
        </w:rPr>
        <w:t xml:space="preserve">The potentials to be responsive and to respond are entwined with brin intentionality to constitute the interpersonal essence of </w:t>
      </w:r>
      <w:r w:rsidRPr="00405707">
        <w:rPr>
          <w:rFonts w:ascii="Times New Roman" w:hAnsi="Times New Roman" w:cs="Times New Roman"/>
          <w:i/>
          <w:iCs/>
          <w:sz w:val="28"/>
          <w:szCs w:val="28"/>
        </w:rPr>
        <w:t>relational contacting</w:t>
      </w:r>
      <w:r w:rsidRPr="00405707">
        <w:rPr>
          <w:rFonts w:ascii="Times New Roman" w:hAnsi="Times New Roman" w:cs="Times New Roman"/>
          <w:sz w:val="28"/>
          <w:szCs w:val="28"/>
        </w:rPr>
        <w:t xml:space="preserve">. This animates the aesthetic ebb and flow, back and forth, of the sequence of relational contacting of the field-emergent self. </w:t>
      </w:r>
      <w:r w:rsidRPr="00405707">
        <w:rPr>
          <w:rFonts w:ascii="Times New Roman" w:hAnsi="Times New Roman" w:cs="Times New Roman"/>
          <w:noProof/>
          <w:sz w:val="28"/>
          <w:szCs w:val="28"/>
        </w:rPr>
        <w:t>(Philippson, 2009)</w:t>
      </w:r>
      <w:r w:rsidRPr="00405707">
        <w:rPr>
          <w:rFonts w:ascii="Times New Roman" w:hAnsi="Times New Roman" w:cs="Times New Roman"/>
          <w:sz w:val="28"/>
          <w:szCs w:val="28"/>
        </w:rPr>
        <w:t xml:space="preserve"> This is the rhythm of relational contacting. It is the rhythm of being responsive and responding, of being receptive, welcoming, acting, and answering -- of holding the hand that holds our hand. These intertwining gestures of interpersonal contacting are the heart of this chapter. </w:t>
      </w:r>
    </w:p>
    <w:p w14:paraId="2378AC50" w14:textId="77777777" w:rsidR="00F16E6F" w:rsidRPr="00405707" w:rsidRDefault="00F16E6F" w:rsidP="00405707">
      <w:pPr>
        <w:spacing w:line="240" w:lineRule="auto"/>
        <w:rPr>
          <w:rFonts w:ascii="Times New Roman" w:hAnsi="Times New Roman" w:cs="Times New Roman"/>
          <w:sz w:val="28"/>
          <w:szCs w:val="28"/>
        </w:rPr>
      </w:pPr>
      <w:r w:rsidRPr="00405707">
        <w:rPr>
          <w:rFonts w:ascii="Times New Roman" w:hAnsi="Times New Roman" w:cs="Times New Roman"/>
          <w:sz w:val="28"/>
          <w:szCs w:val="28"/>
        </w:rPr>
        <w:tab/>
      </w:r>
    </w:p>
    <w:p w14:paraId="677746C3" w14:textId="77777777" w:rsidR="00F16E6F" w:rsidRPr="00405707" w:rsidRDefault="00F16E6F" w:rsidP="00405707">
      <w:pPr>
        <w:spacing w:line="240" w:lineRule="auto"/>
        <w:jc w:val="center"/>
        <w:rPr>
          <w:rFonts w:ascii="Times New Roman" w:hAnsi="Times New Roman" w:cs="Times New Roman"/>
          <w:sz w:val="28"/>
          <w:szCs w:val="28"/>
        </w:rPr>
      </w:pPr>
      <w:r w:rsidRPr="00405707">
        <w:rPr>
          <w:rFonts w:ascii="Times New Roman" w:hAnsi="Times New Roman" w:cs="Times New Roman"/>
          <w:sz w:val="28"/>
          <w:szCs w:val="28"/>
        </w:rPr>
        <w:t>Contact-boundary and field</w:t>
      </w:r>
    </w:p>
    <w:p w14:paraId="65E28E8A" w14:textId="77777777" w:rsidR="00F16E6F" w:rsidRPr="00405707" w:rsidRDefault="00F16E6F" w:rsidP="00405707">
      <w:pPr>
        <w:spacing w:line="240" w:lineRule="auto"/>
        <w:rPr>
          <w:rFonts w:ascii="Times New Roman" w:hAnsi="Times New Roman" w:cs="Times New Roman"/>
          <w:sz w:val="28"/>
          <w:szCs w:val="28"/>
        </w:rPr>
      </w:pPr>
    </w:p>
    <w:p w14:paraId="3F832CF5" w14:textId="77777777" w:rsidR="00F16E6F" w:rsidRPr="00405707" w:rsidRDefault="00F16E6F" w:rsidP="00405707">
      <w:pPr>
        <w:spacing w:line="240" w:lineRule="auto"/>
        <w:rPr>
          <w:rFonts w:ascii="Times New Roman" w:hAnsi="Times New Roman" w:cs="Times New Roman"/>
          <w:sz w:val="28"/>
          <w:szCs w:val="28"/>
        </w:rPr>
      </w:pPr>
      <w:r w:rsidRPr="00405707">
        <w:rPr>
          <w:rFonts w:ascii="Times New Roman" w:hAnsi="Times New Roman" w:cs="Times New Roman"/>
          <w:sz w:val="28"/>
          <w:szCs w:val="28"/>
        </w:rPr>
        <w:tab/>
        <w:t xml:space="preserve">Intentionality for contacting accounts for how contacting is directed, with what qualities meanings, forms, with what, with whom. </w:t>
      </w:r>
      <w:r w:rsidRPr="00405707">
        <w:rPr>
          <w:rFonts w:ascii="Times New Roman" w:hAnsi="Times New Roman" w:cs="Times New Roman"/>
          <w:noProof/>
          <w:sz w:val="28"/>
          <w:szCs w:val="28"/>
        </w:rPr>
        <w:t xml:space="preserve">(Bloom, 2020) </w:t>
      </w:r>
      <w:r w:rsidRPr="00405707">
        <w:rPr>
          <w:rFonts w:ascii="Times New Roman" w:hAnsi="Times New Roman" w:cs="Times New Roman"/>
          <w:sz w:val="28"/>
          <w:szCs w:val="28"/>
        </w:rPr>
        <w:t>As an organizing structure of contacting, intentionality is emergent of the contact-boundary. Necessarily, intentionality for contacting is shaped by the complexities of the contact-boundary and the field, as I will describe. The contact-boundary’s importance to responsive intentionality is pivotal. It is impossible for contacting to emerge as if pristine from the contact-boundary.</w:t>
      </w:r>
    </w:p>
    <w:p w14:paraId="26609144" w14:textId="77777777" w:rsidR="00F16E6F" w:rsidRPr="00405707" w:rsidRDefault="00F16E6F" w:rsidP="00405707">
      <w:pPr>
        <w:spacing w:line="240" w:lineRule="auto"/>
        <w:ind w:firstLine="576"/>
        <w:rPr>
          <w:rFonts w:ascii="Times New Roman" w:hAnsi="Times New Roman" w:cs="Times New Roman"/>
          <w:sz w:val="28"/>
          <w:szCs w:val="28"/>
        </w:rPr>
      </w:pPr>
      <w:r w:rsidRPr="00405707">
        <w:rPr>
          <w:rFonts w:ascii="Times New Roman" w:hAnsi="Times New Roman" w:cs="Times New Roman"/>
          <w:sz w:val="28"/>
          <w:szCs w:val="28"/>
        </w:rPr>
        <w:t>The contact-boundary’s centrality to Gestalt therapy’s theory and practice is indisputable. Its novelty as a concept, remarkable. The contact-boundary is the basis for Gestalt therapy’s claim to be an experiential psychotherapy. Gestalt</w:t>
      </w:r>
      <w:r w:rsidRPr="00405707">
        <w:rPr>
          <w:rFonts w:ascii="Times New Roman" w:hAnsi="Times New Roman" w:cs="Times New Roman"/>
          <w:i/>
          <w:iCs/>
          <w:sz w:val="28"/>
          <w:szCs w:val="28"/>
        </w:rPr>
        <w:t xml:space="preserve"> Therapy, Excitement and Growth in the Human Personality</w:t>
      </w:r>
      <w:r w:rsidRPr="00405707">
        <w:rPr>
          <w:rFonts w:ascii="Times New Roman" w:hAnsi="Times New Roman" w:cs="Times New Roman"/>
          <w:sz w:val="28"/>
          <w:szCs w:val="28"/>
        </w:rPr>
        <w:t xml:space="preserve">, </w:t>
      </w:r>
      <w:r w:rsidRPr="00405707">
        <w:rPr>
          <w:rFonts w:ascii="Times New Roman" w:hAnsi="Times New Roman" w:cs="Times New Roman"/>
          <w:noProof/>
          <w:sz w:val="28"/>
          <w:szCs w:val="28"/>
        </w:rPr>
        <w:t>(Perls et al., 1951)</w:t>
      </w:r>
      <w:r w:rsidRPr="00405707">
        <w:rPr>
          <w:rFonts w:ascii="Times New Roman" w:hAnsi="Times New Roman" w:cs="Times New Roman"/>
          <w:sz w:val="28"/>
          <w:szCs w:val="28"/>
        </w:rPr>
        <w:t xml:space="preserve"> hereinafter PHG, Gestalt therapy’s founding text, affirms that “..”experience occurs at the boundary of the organism and its environment…” (PHG, p. 227</w:t>
      </w:r>
      <w:proofErr w:type="gramStart"/>
      <w:r w:rsidRPr="00405707">
        <w:rPr>
          <w:rFonts w:ascii="Times New Roman" w:hAnsi="Times New Roman" w:cs="Times New Roman"/>
          <w:sz w:val="28"/>
          <w:szCs w:val="28"/>
        </w:rPr>
        <w:t>)  Later</w:t>
      </w:r>
      <w:proofErr w:type="gramEnd"/>
      <w:r w:rsidRPr="00405707">
        <w:rPr>
          <w:rFonts w:ascii="Times New Roman" w:hAnsi="Times New Roman" w:cs="Times New Roman"/>
          <w:sz w:val="28"/>
          <w:szCs w:val="28"/>
        </w:rPr>
        <w:t>, PHG offers various other perspectives on the contact-boundary.  For example, “…the contact-boundary …</w:t>
      </w:r>
      <w:r w:rsidRPr="00405707">
        <w:rPr>
          <w:rFonts w:ascii="Times New Roman" w:hAnsi="Times New Roman" w:cs="Times New Roman"/>
          <w:i/>
          <w:iCs/>
          <w:sz w:val="28"/>
          <w:szCs w:val="28"/>
        </w:rPr>
        <w:t>is the organ of a particular relation of the organism and the environment</w:t>
      </w:r>
      <w:r w:rsidRPr="00405707">
        <w:rPr>
          <w:rFonts w:ascii="Times New Roman" w:hAnsi="Times New Roman" w:cs="Times New Roman"/>
          <w:sz w:val="28"/>
          <w:szCs w:val="28"/>
        </w:rPr>
        <w:t>…this particular relation is growth.” (</w:t>
      </w:r>
      <w:proofErr w:type="gramStart"/>
      <w:r w:rsidRPr="00405707">
        <w:rPr>
          <w:rFonts w:ascii="Times New Roman" w:hAnsi="Times New Roman" w:cs="Times New Roman"/>
          <w:sz w:val="28"/>
          <w:szCs w:val="28"/>
        </w:rPr>
        <w:t>emphasis</w:t>
      </w:r>
      <w:proofErr w:type="gramEnd"/>
      <w:r w:rsidRPr="00405707">
        <w:rPr>
          <w:rFonts w:ascii="Times New Roman" w:hAnsi="Times New Roman" w:cs="Times New Roman"/>
          <w:sz w:val="28"/>
          <w:szCs w:val="28"/>
        </w:rPr>
        <w:t xml:space="preserve"> in original) p. 229, “Growth is the function of the contact-boundary…”   p. </w:t>
      </w:r>
      <w:proofErr w:type="gramStart"/>
      <w:r w:rsidRPr="00405707">
        <w:rPr>
          <w:rFonts w:ascii="Times New Roman" w:hAnsi="Times New Roman" w:cs="Times New Roman"/>
          <w:sz w:val="28"/>
          <w:szCs w:val="28"/>
        </w:rPr>
        <w:t>230 .</w:t>
      </w:r>
      <w:proofErr w:type="gramEnd"/>
      <w:r w:rsidRPr="00405707">
        <w:rPr>
          <w:rFonts w:ascii="Times New Roman" w:hAnsi="Times New Roman" w:cs="Times New Roman"/>
          <w:sz w:val="28"/>
          <w:szCs w:val="28"/>
        </w:rPr>
        <w:t>“The self is the contact-boundary at work; its activity is the forming figures and ground.”  235; “... the contact-boundary is… the specific organ of awareness.” p. 259</w:t>
      </w:r>
    </w:p>
    <w:p w14:paraId="61B1A482" w14:textId="77777777" w:rsidR="00F16E6F" w:rsidRPr="00405707" w:rsidRDefault="00F16E6F" w:rsidP="00405707">
      <w:pPr>
        <w:spacing w:line="240" w:lineRule="auto"/>
        <w:ind w:firstLine="576"/>
        <w:rPr>
          <w:rFonts w:ascii="Times New Roman" w:hAnsi="Times New Roman" w:cs="Times New Roman"/>
          <w:sz w:val="28"/>
          <w:szCs w:val="28"/>
        </w:rPr>
      </w:pPr>
      <w:r w:rsidRPr="00405707">
        <w:rPr>
          <w:rFonts w:ascii="Times New Roman" w:hAnsi="Times New Roman" w:cs="Times New Roman"/>
          <w:sz w:val="28"/>
          <w:szCs w:val="28"/>
        </w:rPr>
        <w:t xml:space="preserve">It ought to go without saying that the contact-boundary is not a “boundary” per se in the sense of dividing a “this” from a “that,” a “Dan” from a “Tom,” a </w:t>
      </w:r>
      <w:r w:rsidRPr="00405707">
        <w:rPr>
          <w:rFonts w:ascii="Times New Roman" w:hAnsi="Times New Roman" w:cs="Times New Roman"/>
          <w:sz w:val="28"/>
          <w:szCs w:val="28"/>
        </w:rPr>
        <w:lastRenderedPageBreak/>
        <w:t xml:space="preserve">“horse” from a “cow,” or even the “ocean” from the “land.” I can tell my neighbor to “respect the boundaries” of our properties, that is, the limit that separates what is his from what is mine. We can remark that a patient becomes anxious when she is faced with “making” boundaries. These are boundaries that are made, lines that can be drawn, categories that can be constructed to sort things.  These are boundaries that differentiate and separate. These are boundaries that account for differences of things we can count. They are boundaries that can be crossed in both directions – back and forth. They are boundaries of the Cartesian world. </w:t>
      </w:r>
    </w:p>
    <w:p w14:paraId="77010203" w14:textId="77777777" w:rsidR="00F16E6F" w:rsidRPr="00405707" w:rsidRDefault="00F16E6F" w:rsidP="00405707">
      <w:pPr>
        <w:spacing w:line="240" w:lineRule="auto"/>
        <w:rPr>
          <w:rFonts w:ascii="Times New Roman" w:hAnsi="Times New Roman" w:cs="Times New Roman"/>
          <w:sz w:val="28"/>
          <w:szCs w:val="28"/>
        </w:rPr>
      </w:pPr>
      <w:r w:rsidRPr="00405707">
        <w:rPr>
          <w:rFonts w:ascii="Times New Roman" w:hAnsi="Times New Roman" w:cs="Times New Roman"/>
          <w:sz w:val="28"/>
          <w:szCs w:val="28"/>
        </w:rPr>
        <w:tab/>
        <w:t xml:space="preserve">This is not what is intended by contact-boundary.  The contact-boundary is a “boundary” of a wholly different order.  It is the “location” of the emergence of experience—of the intentionality of contacting itself. It is a </w:t>
      </w:r>
      <w:r w:rsidRPr="00405707">
        <w:rPr>
          <w:rFonts w:ascii="Times New Roman" w:hAnsi="Times New Roman" w:cs="Times New Roman"/>
          <w:i/>
          <w:iCs/>
          <w:sz w:val="28"/>
          <w:szCs w:val="28"/>
        </w:rPr>
        <w:t>topos</w:t>
      </w:r>
      <w:r w:rsidRPr="00405707">
        <w:rPr>
          <w:rFonts w:ascii="Times New Roman" w:hAnsi="Times New Roman" w:cs="Times New Roman"/>
          <w:sz w:val="28"/>
          <w:szCs w:val="28"/>
        </w:rPr>
        <w:t>,</w:t>
      </w:r>
      <w:r w:rsidRPr="00405707">
        <w:rPr>
          <w:rFonts w:ascii="Times New Roman" w:hAnsi="Times New Roman" w:cs="Times New Roman"/>
          <w:sz w:val="28"/>
          <w:szCs w:val="28"/>
          <w:vertAlign w:val="superscript"/>
        </w:rPr>
        <w:t xml:space="preserve"> </w:t>
      </w:r>
      <w:r w:rsidRPr="00405707">
        <w:rPr>
          <w:rStyle w:val="FootnoteReference"/>
          <w:rFonts w:ascii="Times New Roman" w:hAnsi="Times New Roman" w:cs="Times New Roman"/>
          <w:sz w:val="28"/>
          <w:szCs w:val="28"/>
        </w:rPr>
        <w:footnoteReference w:id="2"/>
      </w:r>
      <w:r w:rsidRPr="00405707">
        <w:rPr>
          <w:rFonts w:ascii="Times New Roman" w:hAnsi="Times New Roman" w:cs="Times New Roman"/>
          <w:sz w:val="28"/>
          <w:szCs w:val="28"/>
        </w:rPr>
        <w:t xml:space="preserve"> a phenomenal space or region. Instead of “space,” it has “spatiality.” (</w:t>
      </w:r>
      <w:r w:rsidRPr="00405707">
        <w:rPr>
          <w:rFonts w:ascii="Times New Roman" w:hAnsi="Times New Roman" w:cs="Times New Roman"/>
          <w:noProof/>
          <w:sz w:val="28"/>
          <w:szCs w:val="28"/>
        </w:rPr>
        <w:t xml:space="preserve">Heidegger, 1962, p. 53; Moran &amp; Cohen, 2012, </w:t>
      </w:r>
      <w:r w:rsidRPr="00405707">
        <w:rPr>
          <w:rFonts w:ascii="Times New Roman" w:hAnsi="Times New Roman" w:cs="Times New Roman"/>
          <w:sz w:val="28"/>
          <w:szCs w:val="28"/>
        </w:rPr>
        <w:t xml:space="preserve">p 303) The contact-boundary is unitary.  That is, it is without an inside or outside, an up or a down. It is without a place that can be marked, measured or mapped. It is </w:t>
      </w:r>
      <w:r w:rsidRPr="00405707">
        <w:rPr>
          <w:rFonts w:ascii="Times New Roman" w:hAnsi="Times New Roman" w:cs="Times New Roman"/>
          <w:i/>
          <w:iCs/>
          <w:sz w:val="28"/>
          <w:szCs w:val="28"/>
        </w:rPr>
        <w:t>neither</w:t>
      </w:r>
      <w:r w:rsidRPr="00405707">
        <w:rPr>
          <w:rFonts w:ascii="Times New Roman" w:hAnsi="Times New Roman" w:cs="Times New Roman"/>
          <w:sz w:val="28"/>
          <w:szCs w:val="28"/>
        </w:rPr>
        <w:t xml:space="preserve"> material </w:t>
      </w:r>
      <w:r w:rsidRPr="00405707">
        <w:rPr>
          <w:rFonts w:ascii="Times New Roman" w:hAnsi="Times New Roman" w:cs="Times New Roman"/>
          <w:i/>
          <w:iCs/>
          <w:sz w:val="28"/>
          <w:szCs w:val="28"/>
        </w:rPr>
        <w:t>nor</w:t>
      </w:r>
      <w:r w:rsidRPr="00405707">
        <w:rPr>
          <w:rFonts w:ascii="Times New Roman" w:hAnsi="Times New Roman" w:cs="Times New Roman"/>
          <w:sz w:val="28"/>
          <w:szCs w:val="28"/>
        </w:rPr>
        <w:t xml:space="preserve"> immaterial. (</w:t>
      </w:r>
      <w:r w:rsidRPr="00405707">
        <w:rPr>
          <w:rFonts w:ascii="Times New Roman" w:hAnsi="Times New Roman" w:cs="Times New Roman"/>
          <w:noProof/>
          <w:sz w:val="28"/>
          <w:szCs w:val="28"/>
        </w:rPr>
        <w:t>Bloom, 2019c)</w:t>
      </w:r>
      <w:r w:rsidRPr="00405707">
        <w:rPr>
          <w:rFonts w:ascii="Times New Roman" w:hAnsi="Times New Roman" w:cs="Times New Roman"/>
          <w:sz w:val="28"/>
          <w:szCs w:val="28"/>
        </w:rPr>
        <w:t xml:space="preserve"> It is the ground of the field-emergent relational self. Further Since self is a sequence, a temporal sequence (PHG, p. 403, the contact-boundary is a process with its own time or “temporality.” </w:t>
      </w:r>
      <w:r w:rsidRPr="00405707">
        <w:rPr>
          <w:rFonts w:ascii="Times New Roman" w:hAnsi="Times New Roman" w:cs="Times New Roman"/>
          <w:noProof/>
          <w:sz w:val="28"/>
          <w:szCs w:val="28"/>
        </w:rPr>
        <w:t>(Husserl, 1964)</w:t>
      </w:r>
      <w:r w:rsidRPr="00405707">
        <w:rPr>
          <w:rFonts w:ascii="Times New Roman" w:hAnsi="Times New Roman" w:cs="Times New Roman"/>
          <w:sz w:val="28"/>
          <w:szCs w:val="28"/>
        </w:rPr>
        <w:t xml:space="preserve">; </w:t>
      </w:r>
      <w:r w:rsidRPr="00405707">
        <w:rPr>
          <w:rFonts w:ascii="Times New Roman" w:hAnsi="Times New Roman" w:cs="Times New Roman"/>
          <w:noProof/>
          <w:sz w:val="28"/>
          <w:szCs w:val="28"/>
        </w:rPr>
        <w:t>(Drummond, 2010, p. 200; Schalow &amp; Denker, 2010, p. 17)</w:t>
      </w:r>
      <w:r w:rsidRPr="00405707">
        <w:rPr>
          <w:rFonts w:ascii="Times New Roman" w:hAnsi="Times New Roman" w:cs="Times New Roman"/>
          <w:sz w:val="28"/>
          <w:szCs w:val="28"/>
        </w:rPr>
        <w:t xml:space="preserve"> That is, just as it lacks physical dimensions that can be measured in inches or millimeters, it lacks time that can be measured by minutes or hours (clock time). The dash, “-,”in the word differentiates the contact-boundary as a phenomenological or experiential boundary from Cartesian boundaries</w:t>
      </w:r>
      <w:r w:rsidRPr="00405707">
        <w:rPr>
          <w:rStyle w:val="FootnoteReference"/>
          <w:rFonts w:ascii="Times New Roman" w:hAnsi="Times New Roman" w:cs="Times New Roman"/>
          <w:sz w:val="28"/>
          <w:szCs w:val="28"/>
        </w:rPr>
        <w:footnoteReference w:id="3"/>
      </w:r>
      <w:r w:rsidRPr="00405707">
        <w:rPr>
          <w:rFonts w:ascii="Times New Roman" w:hAnsi="Times New Roman" w:cs="Times New Roman"/>
          <w:sz w:val="28"/>
          <w:szCs w:val="28"/>
        </w:rPr>
        <w:t>.  “Contact-” is not an adjective modifying “boundary”; it is intrinsic in “boundary.” This the creative invention of Gestalt therapy’s basic clinical epistemology that disappears with the disappearing dash.</w:t>
      </w:r>
    </w:p>
    <w:p w14:paraId="7CB737C7" w14:textId="77777777" w:rsidR="00F16E6F" w:rsidRPr="00405707" w:rsidRDefault="00F16E6F" w:rsidP="00405707">
      <w:pPr>
        <w:spacing w:line="240" w:lineRule="auto"/>
        <w:rPr>
          <w:rFonts w:ascii="Times New Roman" w:hAnsi="Times New Roman" w:cs="Times New Roman"/>
          <w:sz w:val="28"/>
          <w:szCs w:val="28"/>
        </w:rPr>
      </w:pPr>
      <w:r w:rsidRPr="00405707">
        <w:rPr>
          <w:rFonts w:ascii="Times New Roman" w:hAnsi="Times New Roman" w:cs="Times New Roman"/>
          <w:sz w:val="28"/>
          <w:szCs w:val="28"/>
        </w:rPr>
        <w:tab/>
        <w:t xml:space="preserve">So, you and I do not “have” a contact-boundary. We cannot “make” one together.  The contact-boundary isn’t an achievement. You and I, rather, are emergent processes </w:t>
      </w:r>
      <w:r w:rsidRPr="00405707">
        <w:rPr>
          <w:rFonts w:ascii="Times New Roman" w:hAnsi="Times New Roman" w:cs="Times New Roman"/>
          <w:i/>
          <w:iCs/>
          <w:sz w:val="28"/>
          <w:szCs w:val="28"/>
        </w:rPr>
        <w:t>of</w:t>
      </w:r>
      <w:r w:rsidRPr="00405707">
        <w:rPr>
          <w:rFonts w:ascii="Times New Roman" w:hAnsi="Times New Roman" w:cs="Times New Roman"/>
          <w:sz w:val="28"/>
          <w:szCs w:val="28"/>
        </w:rPr>
        <w:t xml:space="preserve"> the contact-boundary. The contacting process that includes you and me, then, is </w:t>
      </w:r>
      <w:r w:rsidRPr="00405707">
        <w:rPr>
          <w:rFonts w:ascii="Times New Roman" w:hAnsi="Times New Roman" w:cs="Times New Roman"/>
          <w:i/>
          <w:iCs/>
          <w:sz w:val="28"/>
          <w:szCs w:val="28"/>
        </w:rPr>
        <w:t>of</w:t>
      </w:r>
      <w:r w:rsidRPr="00405707">
        <w:rPr>
          <w:rFonts w:ascii="Times New Roman" w:hAnsi="Times New Roman" w:cs="Times New Roman"/>
          <w:sz w:val="28"/>
          <w:szCs w:val="28"/>
        </w:rPr>
        <w:t xml:space="preserve"> the contact-boundary. That we are of a common contact-boundary ensures our relationality. Further, the contact-boundary is the condition for the very possibility of contacting and consequently </w:t>
      </w:r>
      <w:proofErr w:type="spellStart"/>
      <w:r w:rsidRPr="00405707">
        <w:rPr>
          <w:rFonts w:ascii="Times New Roman" w:hAnsi="Times New Roman" w:cs="Times New Roman"/>
          <w:sz w:val="28"/>
          <w:szCs w:val="28"/>
        </w:rPr>
        <w:t>self emergence</w:t>
      </w:r>
      <w:proofErr w:type="spellEnd"/>
      <w:r w:rsidRPr="00405707">
        <w:rPr>
          <w:rFonts w:ascii="Times New Roman" w:hAnsi="Times New Roman" w:cs="Times New Roman"/>
          <w:sz w:val="28"/>
          <w:szCs w:val="28"/>
        </w:rPr>
        <w:t xml:space="preserve">. At the same </w:t>
      </w:r>
      <w:r w:rsidRPr="00405707">
        <w:rPr>
          <w:rFonts w:ascii="Times New Roman" w:hAnsi="Times New Roman" w:cs="Times New Roman"/>
          <w:sz w:val="28"/>
          <w:szCs w:val="28"/>
        </w:rPr>
        <w:lastRenderedPageBreak/>
        <w:t>time and reciprocally, the contact-boundary is enriched by on-going contacting.  The “aftermath” of contacting is assimilated to the ground and becomes part of ongoing basis of the contact-boundary from which contacting is emergent. How else could we have continuity of personal, interpersonal identities? Or history? Or a past to recollect? Contacting emerges of a contact-boundary that is always already a rich field nourished by previous contactings. Responsivity and the capacity to respond are emergent functions of this richly structured phenomenal “boundary” of emergent contacting. Intentionality of contacting is emergent of this contact-boundary, and of course, it cannot be other than relational intentionality since of this contact-boundary nothing non-relational can exist.</w:t>
      </w:r>
    </w:p>
    <w:p w14:paraId="1BE3D5E4" w14:textId="77777777" w:rsidR="00F16E6F" w:rsidRPr="00405707" w:rsidRDefault="00F16E6F" w:rsidP="00405707">
      <w:pPr>
        <w:spacing w:line="240" w:lineRule="auto"/>
        <w:rPr>
          <w:rFonts w:ascii="Times New Roman" w:hAnsi="Times New Roman" w:cs="Times New Roman"/>
          <w:sz w:val="28"/>
          <w:szCs w:val="28"/>
        </w:rPr>
      </w:pPr>
      <w:r w:rsidRPr="00405707">
        <w:rPr>
          <w:rFonts w:ascii="Times New Roman" w:hAnsi="Times New Roman" w:cs="Times New Roman"/>
          <w:sz w:val="28"/>
          <w:szCs w:val="28"/>
        </w:rPr>
        <w:t xml:space="preserve"> </w:t>
      </w:r>
      <w:r w:rsidRPr="00405707">
        <w:rPr>
          <w:rFonts w:ascii="Times New Roman" w:hAnsi="Times New Roman" w:cs="Times New Roman"/>
          <w:sz w:val="28"/>
          <w:szCs w:val="28"/>
        </w:rPr>
        <w:tab/>
        <w:t xml:space="preserve">When we say that “we meet at the contact-boundary,” we mean that our experience of “meeting” emerges of a place that is described by PHG on p. 229 as a particular </w:t>
      </w:r>
      <w:r w:rsidRPr="00405707">
        <w:rPr>
          <w:rFonts w:ascii="Times New Roman" w:hAnsi="Times New Roman" w:cs="Times New Roman"/>
          <w:i/>
          <w:iCs/>
          <w:sz w:val="28"/>
          <w:szCs w:val="28"/>
        </w:rPr>
        <w:t>relation o</w:t>
      </w:r>
      <w:r w:rsidRPr="00405707">
        <w:rPr>
          <w:rFonts w:ascii="Times New Roman" w:hAnsi="Times New Roman" w:cs="Times New Roman"/>
          <w:sz w:val="28"/>
          <w:szCs w:val="28"/>
        </w:rPr>
        <w:t>f “the organism/environment field,” that is, the contact-boundary.</w:t>
      </w:r>
    </w:p>
    <w:p w14:paraId="0E914467" w14:textId="77777777" w:rsidR="00F16E6F" w:rsidRPr="00405707" w:rsidRDefault="00F16E6F" w:rsidP="00405707">
      <w:pPr>
        <w:spacing w:line="240" w:lineRule="auto"/>
        <w:ind w:firstLine="720"/>
        <w:rPr>
          <w:rFonts w:ascii="Times New Roman" w:hAnsi="Times New Roman" w:cs="Times New Roman"/>
          <w:sz w:val="28"/>
          <w:szCs w:val="28"/>
        </w:rPr>
      </w:pPr>
      <w:r w:rsidRPr="00405707">
        <w:rPr>
          <w:rFonts w:ascii="Times New Roman" w:hAnsi="Times New Roman" w:cs="Times New Roman"/>
          <w:sz w:val="28"/>
          <w:szCs w:val="28"/>
        </w:rPr>
        <w:t xml:space="preserve">.  </w:t>
      </w:r>
    </w:p>
    <w:p w14:paraId="75F9DC36" w14:textId="77777777" w:rsidR="00F16E6F" w:rsidRPr="00405707" w:rsidRDefault="00F16E6F" w:rsidP="00405707">
      <w:pPr>
        <w:spacing w:line="240" w:lineRule="auto"/>
        <w:rPr>
          <w:rFonts w:ascii="Times New Roman" w:hAnsi="Times New Roman" w:cs="Times New Roman"/>
          <w:sz w:val="28"/>
          <w:szCs w:val="28"/>
        </w:rPr>
      </w:pPr>
    </w:p>
    <w:p w14:paraId="0D81F7AF" w14:textId="77777777" w:rsidR="00F16E6F" w:rsidRPr="00405707" w:rsidRDefault="00F16E6F" w:rsidP="00405707">
      <w:pPr>
        <w:spacing w:line="240" w:lineRule="auto"/>
        <w:rPr>
          <w:rFonts w:ascii="Times New Roman" w:hAnsi="Times New Roman" w:cs="Times New Roman"/>
          <w:sz w:val="28"/>
          <w:szCs w:val="28"/>
        </w:rPr>
      </w:pPr>
      <w:r w:rsidRPr="00405707">
        <w:rPr>
          <w:rFonts w:ascii="Times New Roman" w:hAnsi="Times New Roman" w:cs="Times New Roman"/>
          <w:sz w:val="28"/>
          <w:szCs w:val="28"/>
        </w:rPr>
        <w:t>Contact-boundary emergent of…</w:t>
      </w:r>
    </w:p>
    <w:p w14:paraId="4E07B5FC" w14:textId="77777777" w:rsidR="00F16E6F" w:rsidRPr="00405707" w:rsidRDefault="00F16E6F" w:rsidP="00405707">
      <w:pPr>
        <w:spacing w:line="240" w:lineRule="auto"/>
        <w:ind w:firstLine="720"/>
        <w:rPr>
          <w:rFonts w:ascii="Times New Roman" w:hAnsi="Times New Roman" w:cs="Times New Roman"/>
          <w:sz w:val="28"/>
          <w:szCs w:val="28"/>
        </w:rPr>
      </w:pPr>
      <w:r w:rsidRPr="00405707">
        <w:rPr>
          <w:rFonts w:ascii="Times New Roman" w:hAnsi="Times New Roman" w:cs="Times New Roman"/>
          <w:sz w:val="28"/>
          <w:szCs w:val="28"/>
        </w:rPr>
        <w:t xml:space="preserve">The contact-boundary is usually understood in Gestalt therapy as the “organism/environment field.”  This paradigm is incomplete for the approach I am proposing.  “Environment” is too broad a word to capture the potentialities and possibilities of </w:t>
      </w:r>
      <w:proofErr w:type="spellStart"/>
      <w:r w:rsidRPr="00405707">
        <w:rPr>
          <w:rFonts w:ascii="Times New Roman" w:hAnsi="Times New Roman" w:cs="Times New Roman"/>
          <w:sz w:val="28"/>
          <w:szCs w:val="28"/>
        </w:rPr>
        <w:t>self emergence</w:t>
      </w:r>
      <w:proofErr w:type="spellEnd"/>
      <w:r w:rsidRPr="00405707">
        <w:rPr>
          <w:rFonts w:ascii="Times New Roman" w:hAnsi="Times New Roman" w:cs="Times New Roman"/>
          <w:sz w:val="28"/>
          <w:szCs w:val="28"/>
        </w:rPr>
        <w:t>. (</w:t>
      </w:r>
      <w:r w:rsidRPr="00405707">
        <w:rPr>
          <w:rFonts w:ascii="Times New Roman" w:hAnsi="Times New Roman" w:cs="Times New Roman"/>
          <w:noProof/>
          <w:sz w:val="28"/>
          <w:szCs w:val="28"/>
        </w:rPr>
        <w:t>Bloom, 2016;Bloom, 2019a;Bloom, 2019b)</w:t>
      </w:r>
      <w:r w:rsidRPr="00405707">
        <w:rPr>
          <w:rFonts w:ascii="Times New Roman" w:hAnsi="Times New Roman" w:cs="Times New Roman"/>
          <w:sz w:val="28"/>
          <w:szCs w:val="28"/>
        </w:rPr>
        <w:t xml:space="preserve"> At least in English the material connotations of “environment” are too limiting. The environment supports me as a biological organism, and of course it is a mistake to consider an organism as separate from the environment. But as much as I live in an environment with this climate, with this oxygen and am sustained by these nutrients, I dwell, thrive, love, make meaning and suffer in my home, with my family, my loved ones, my culture, my language, my history – my world. When I travel far away, I may get lonely and homesick. I rarely say I miss my environment. I can dig a hole in the ground and that is rarely a hole in the “environment.” When I bury a dead person in it that hole, it becomes something else: it becomes a grave.  When I hold the hand that holds my hand, we touch and form a world that belongs to us. Is there a name for it?</w:t>
      </w:r>
    </w:p>
    <w:p w14:paraId="18DD7458" w14:textId="77777777" w:rsidR="00F16E6F" w:rsidRPr="00405707" w:rsidRDefault="00F16E6F" w:rsidP="00405707">
      <w:pPr>
        <w:spacing w:line="240" w:lineRule="auto"/>
        <w:rPr>
          <w:rFonts w:ascii="Times New Roman" w:hAnsi="Times New Roman" w:cs="Times New Roman"/>
          <w:sz w:val="28"/>
          <w:szCs w:val="28"/>
        </w:rPr>
      </w:pPr>
      <w:r w:rsidRPr="00405707">
        <w:rPr>
          <w:rFonts w:ascii="Times New Roman" w:hAnsi="Times New Roman" w:cs="Times New Roman"/>
          <w:sz w:val="28"/>
          <w:szCs w:val="28"/>
        </w:rPr>
        <w:tab/>
        <w:t xml:space="preserve">We ought to have another term that is more suitable for our work as psychotherapists. The Baltic German biologist Jakob von Uexküll (1864 – 1944) introduced </w:t>
      </w:r>
      <w:r w:rsidRPr="00405707">
        <w:rPr>
          <w:rFonts w:ascii="Times New Roman" w:hAnsi="Times New Roman" w:cs="Times New Roman"/>
          <w:i/>
          <w:iCs/>
          <w:sz w:val="28"/>
          <w:szCs w:val="28"/>
        </w:rPr>
        <w:t>Umwelt</w:t>
      </w:r>
      <w:r w:rsidRPr="00405707">
        <w:rPr>
          <w:rFonts w:ascii="Times New Roman" w:hAnsi="Times New Roman" w:cs="Times New Roman"/>
          <w:sz w:val="28"/>
          <w:szCs w:val="28"/>
        </w:rPr>
        <w:t xml:space="preserve"> to describe the surrounding world of a biological organism that is </w:t>
      </w:r>
      <w:r w:rsidRPr="00405707">
        <w:rPr>
          <w:rFonts w:ascii="Times New Roman" w:hAnsi="Times New Roman" w:cs="Times New Roman"/>
          <w:i/>
          <w:iCs/>
          <w:sz w:val="28"/>
          <w:szCs w:val="28"/>
        </w:rPr>
        <w:t>not only</w:t>
      </w:r>
      <w:r w:rsidRPr="00405707">
        <w:rPr>
          <w:rFonts w:ascii="Times New Roman" w:hAnsi="Times New Roman" w:cs="Times New Roman"/>
          <w:sz w:val="28"/>
          <w:szCs w:val="28"/>
        </w:rPr>
        <w:t xml:space="preserve"> its environment but includes its world of significance. </w:t>
      </w:r>
      <w:r w:rsidRPr="00405707">
        <w:rPr>
          <w:rFonts w:ascii="Times New Roman" w:hAnsi="Times New Roman" w:cs="Times New Roman"/>
          <w:noProof/>
          <w:sz w:val="28"/>
          <w:szCs w:val="28"/>
        </w:rPr>
        <w:t xml:space="preserve">(Harrington, 1996, p. 44) </w:t>
      </w:r>
      <w:r w:rsidRPr="00405707">
        <w:rPr>
          <w:rFonts w:ascii="Times New Roman" w:hAnsi="Times New Roman" w:cs="Times New Roman"/>
          <w:sz w:val="28"/>
          <w:szCs w:val="28"/>
        </w:rPr>
        <w:t xml:space="preserve">Edmund Husserl (1859 – 1938) imported </w:t>
      </w:r>
      <w:r w:rsidRPr="00405707">
        <w:rPr>
          <w:rFonts w:ascii="Times New Roman" w:hAnsi="Times New Roman" w:cs="Times New Roman"/>
          <w:i/>
          <w:iCs/>
          <w:sz w:val="28"/>
          <w:szCs w:val="28"/>
        </w:rPr>
        <w:t xml:space="preserve">Umwelt </w:t>
      </w:r>
      <w:r w:rsidRPr="00405707">
        <w:rPr>
          <w:rFonts w:ascii="Times New Roman" w:hAnsi="Times New Roman" w:cs="Times New Roman"/>
          <w:sz w:val="28"/>
          <w:szCs w:val="28"/>
        </w:rPr>
        <w:t xml:space="preserve">into his </w:t>
      </w:r>
      <w:r w:rsidRPr="00405707">
        <w:rPr>
          <w:rFonts w:ascii="Times New Roman" w:hAnsi="Times New Roman" w:cs="Times New Roman"/>
          <w:sz w:val="28"/>
          <w:szCs w:val="28"/>
        </w:rPr>
        <w:lastRenderedPageBreak/>
        <w:t xml:space="preserve">phenomenology and further developed this as </w:t>
      </w:r>
      <w:r w:rsidRPr="00405707">
        <w:rPr>
          <w:rFonts w:ascii="Times New Roman" w:hAnsi="Times New Roman" w:cs="Times New Roman"/>
          <w:i/>
          <w:iCs/>
          <w:sz w:val="28"/>
          <w:szCs w:val="28"/>
        </w:rPr>
        <w:t>Lebenswelt</w:t>
      </w:r>
      <w:r w:rsidRPr="00405707">
        <w:rPr>
          <w:rFonts w:ascii="Times New Roman" w:hAnsi="Times New Roman" w:cs="Times New Roman"/>
          <w:sz w:val="28"/>
          <w:szCs w:val="28"/>
        </w:rPr>
        <w:t xml:space="preserve">, lifeworld. </w:t>
      </w:r>
      <w:r w:rsidRPr="00405707">
        <w:rPr>
          <w:rFonts w:ascii="Times New Roman" w:hAnsi="Times New Roman" w:cs="Times New Roman"/>
          <w:noProof/>
          <w:sz w:val="28"/>
          <w:szCs w:val="28"/>
        </w:rPr>
        <w:t xml:space="preserve">(Husserl, 1970; Moran &amp; Cohen, 2012, p. 189) </w:t>
      </w:r>
      <w:r w:rsidRPr="00405707">
        <w:rPr>
          <w:rFonts w:ascii="Times New Roman" w:hAnsi="Times New Roman" w:cs="Times New Roman"/>
          <w:sz w:val="28"/>
          <w:szCs w:val="28"/>
        </w:rPr>
        <w:t xml:space="preserve">Lifeworld is the world of our actual practical living as human beings in community who intersubjectively make meaning together, who form relationships, share histories and dream of the future.  Husserl’s horizon is the spatial, temporal, historical, and cultural context of </w:t>
      </w:r>
      <w:proofErr w:type="gramStart"/>
      <w:r w:rsidRPr="00405707">
        <w:rPr>
          <w:rFonts w:ascii="Times New Roman" w:hAnsi="Times New Roman" w:cs="Times New Roman"/>
          <w:sz w:val="28"/>
          <w:szCs w:val="28"/>
        </w:rPr>
        <w:t>particular experience</w:t>
      </w:r>
      <w:proofErr w:type="gramEnd"/>
      <w:r w:rsidRPr="00405707">
        <w:rPr>
          <w:rFonts w:ascii="Times New Roman" w:hAnsi="Times New Roman" w:cs="Times New Roman"/>
          <w:sz w:val="28"/>
          <w:szCs w:val="28"/>
        </w:rPr>
        <w:t xml:space="preserve">.  </w:t>
      </w:r>
      <w:r w:rsidRPr="00405707">
        <w:rPr>
          <w:rFonts w:ascii="Times New Roman" w:hAnsi="Times New Roman" w:cs="Times New Roman"/>
          <w:noProof/>
          <w:sz w:val="28"/>
          <w:szCs w:val="28"/>
        </w:rPr>
        <w:t>(Moran &amp; Cohen, 2012, p.</w:t>
      </w:r>
      <w:r w:rsidRPr="00405707">
        <w:rPr>
          <w:rFonts w:ascii="Times New Roman" w:hAnsi="Times New Roman" w:cs="Times New Roman"/>
          <w:sz w:val="28"/>
          <w:szCs w:val="28"/>
        </w:rPr>
        <w:t xml:space="preserve">9 It is the world of life, lived-history, social bonds, culture and so on. It is our personal horizon that surrounds each of us, each person, each relationship, each family, each group, each community.  It is the world as given as well as “the pre-given basis for all experience” </w:t>
      </w:r>
      <w:r w:rsidRPr="00405707">
        <w:rPr>
          <w:rFonts w:ascii="Times New Roman" w:hAnsi="Times New Roman" w:cs="Times New Roman"/>
          <w:noProof/>
          <w:sz w:val="28"/>
          <w:szCs w:val="28"/>
        </w:rPr>
        <w:t>(Gadamer,1976,p</w:t>
      </w:r>
      <w:r w:rsidRPr="00405707">
        <w:rPr>
          <w:rFonts w:ascii="Times New Roman" w:hAnsi="Times New Roman" w:cs="Times New Roman"/>
          <w:sz w:val="28"/>
          <w:szCs w:val="28"/>
        </w:rPr>
        <w:t xml:space="preserve"> 245) where “pre-given” is past “lived-experiences” that make present experiences possible.”</w:t>
      </w:r>
      <w:r w:rsidRPr="00405707">
        <w:rPr>
          <w:rFonts w:ascii="Times New Roman" w:hAnsi="Times New Roman" w:cs="Times New Roman"/>
          <w:noProof/>
          <w:sz w:val="28"/>
          <w:szCs w:val="28"/>
        </w:rPr>
        <w:t xml:space="preserve"> (Luft, 2011, p. 109) It</w:t>
      </w:r>
      <w:r w:rsidRPr="00405707">
        <w:rPr>
          <w:rFonts w:ascii="Times New Roman" w:hAnsi="Times New Roman" w:cs="Times New Roman"/>
          <w:sz w:val="28"/>
          <w:szCs w:val="28"/>
        </w:rPr>
        <w:t xml:space="preserve"> is also </w:t>
      </w:r>
      <w:proofErr w:type="gramStart"/>
      <w:r w:rsidRPr="00405707">
        <w:rPr>
          <w:rFonts w:ascii="Times New Roman" w:hAnsi="Times New Roman" w:cs="Times New Roman"/>
          <w:sz w:val="28"/>
          <w:szCs w:val="28"/>
        </w:rPr>
        <w:t>“ pre</w:t>
      </w:r>
      <w:proofErr w:type="gramEnd"/>
      <w:r w:rsidRPr="00405707">
        <w:rPr>
          <w:rFonts w:ascii="Times New Roman" w:hAnsi="Times New Roman" w:cs="Times New Roman"/>
          <w:sz w:val="28"/>
          <w:szCs w:val="28"/>
        </w:rPr>
        <w:t xml:space="preserve">-given” in the sense of the naïve subjective world  before we add meaning to it; that is, the world that is there prior to our own sense making.  The lifeworld is the gathering or meeting of personal horizons as the horizon of all horizons, which connects us in a whole fabric of humanity. It is both the visible everyday world right in front of our faces and the invisible hidden world we see when we clear our eyes and find enchantment in unexpected places. Consider, then, the contact-boundary as emergent of and including this extended field, the organism/environment-lifeworld field.  </w:t>
      </w:r>
    </w:p>
    <w:p w14:paraId="02C507C0" w14:textId="77777777" w:rsidR="00F16E6F" w:rsidRPr="00405707" w:rsidRDefault="00F16E6F" w:rsidP="00405707">
      <w:pPr>
        <w:spacing w:line="240" w:lineRule="auto"/>
        <w:ind w:firstLine="720"/>
        <w:rPr>
          <w:rFonts w:ascii="Times New Roman" w:hAnsi="Times New Roman" w:cs="Times New Roman"/>
          <w:sz w:val="28"/>
          <w:szCs w:val="28"/>
        </w:rPr>
      </w:pPr>
      <w:r w:rsidRPr="00405707">
        <w:rPr>
          <w:rFonts w:ascii="Times New Roman" w:hAnsi="Times New Roman" w:cs="Times New Roman"/>
          <w:sz w:val="28"/>
          <w:szCs w:val="28"/>
        </w:rPr>
        <w:t>Lifeworld deserves to be appended to “environment” so that the “organism/environment-</w:t>
      </w:r>
      <w:r w:rsidRPr="00405707">
        <w:rPr>
          <w:rFonts w:ascii="Times New Roman" w:hAnsi="Times New Roman" w:cs="Times New Roman"/>
          <w:i/>
          <w:iCs/>
          <w:sz w:val="28"/>
          <w:szCs w:val="28"/>
        </w:rPr>
        <w:t xml:space="preserve">lifeworld </w:t>
      </w:r>
      <w:r w:rsidRPr="00405707">
        <w:rPr>
          <w:rFonts w:ascii="Times New Roman" w:hAnsi="Times New Roman" w:cs="Times New Roman"/>
          <w:sz w:val="28"/>
          <w:szCs w:val="28"/>
        </w:rPr>
        <w:t xml:space="preserve">field” more accurately reflects how contacting, self, and relationality are world-embedded processes. The meeting of the organism and </w:t>
      </w:r>
      <w:proofErr w:type="gramStart"/>
      <w:r w:rsidRPr="00405707">
        <w:rPr>
          <w:rFonts w:ascii="Times New Roman" w:hAnsi="Times New Roman" w:cs="Times New Roman"/>
          <w:sz w:val="28"/>
          <w:szCs w:val="28"/>
        </w:rPr>
        <w:t>its</w:t>
      </w:r>
      <w:proofErr w:type="gramEnd"/>
      <w:r w:rsidRPr="00405707">
        <w:rPr>
          <w:rFonts w:ascii="Times New Roman" w:hAnsi="Times New Roman" w:cs="Times New Roman"/>
          <w:sz w:val="28"/>
          <w:szCs w:val="28"/>
        </w:rPr>
        <w:t xml:space="preserve"> becomes the personal and relational organism/environment-lifeworld field. And the contact-boundary can be understood as of an already richly populated human </w:t>
      </w:r>
      <w:r w:rsidRPr="00405707">
        <w:rPr>
          <w:rFonts w:ascii="Times New Roman" w:hAnsi="Times New Roman" w:cs="Times New Roman"/>
          <w:i/>
          <w:iCs/>
          <w:sz w:val="28"/>
          <w:szCs w:val="28"/>
        </w:rPr>
        <w:t>horizon</w:t>
      </w:r>
      <w:r w:rsidRPr="00405707">
        <w:rPr>
          <w:rFonts w:ascii="Times New Roman" w:hAnsi="Times New Roman" w:cs="Times New Roman"/>
          <w:sz w:val="28"/>
          <w:szCs w:val="28"/>
        </w:rPr>
        <w:t xml:space="preserve"> (</w:t>
      </w:r>
      <w:r w:rsidRPr="00405707">
        <w:rPr>
          <w:rFonts w:ascii="Times New Roman" w:hAnsi="Times New Roman" w:cs="Times New Roman"/>
          <w:noProof/>
          <w:sz w:val="28"/>
          <w:szCs w:val="28"/>
        </w:rPr>
        <w:t>Moran &amp; Cohen, 2012 p.</w:t>
      </w:r>
      <w:r w:rsidRPr="00405707">
        <w:rPr>
          <w:rFonts w:ascii="Times New Roman" w:hAnsi="Times New Roman" w:cs="Times New Roman"/>
          <w:sz w:val="28"/>
          <w:szCs w:val="28"/>
        </w:rPr>
        <w:t xml:space="preserve">147) out of which the figure of relational contacting emerges. The lifeworld is the extended worlded fringe around the focus of figural attention, which stretches to the margin or edges of awareness. Further, responsive intentionality of contacting is emergent of the contact-boundary of the organism/environment-lifeworld field since responsivity itself is intrinsic in the contact-boundary as “the organ of a particular relation of the organism and the environment.” (PHG, p.229) Consequently, relational intentionality for contacting </w:t>
      </w:r>
      <w:proofErr w:type="gramStart"/>
      <w:r w:rsidRPr="00405707">
        <w:rPr>
          <w:rFonts w:ascii="Times New Roman" w:hAnsi="Times New Roman" w:cs="Times New Roman"/>
          <w:sz w:val="28"/>
          <w:szCs w:val="28"/>
        </w:rPr>
        <w:t>has to</w:t>
      </w:r>
      <w:proofErr w:type="gramEnd"/>
      <w:r w:rsidRPr="00405707">
        <w:rPr>
          <w:rFonts w:ascii="Times New Roman" w:hAnsi="Times New Roman" w:cs="Times New Roman"/>
          <w:sz w:val="28"/>
          <w:szCs w:val="28"/>
        </w:rPr>
        <w:t xml:space="preserve"> be understood to include both the openness of responsivity as well as the activity of responding. I will return to this important point, below. </w:t>
      </w:r>
    </w:p>
    <w:p w14:paraId="5BC6F191" w14:textId="77777777" w:rsidR="00F16E6F" w:rsidRPr="00405707" w:rsidRDefault="00F16E6F" w:rsidP="00405707">
      <w:pPr>
        <w:spacing w:line="240" w:lineRule="auto"/>
        <w:rPr>
          <w:rFonts w:ascii="Times New Roman" w:hAnsi="Times New Roman" w:cs="Times New Roman"/>
          <w:sz w:val="28"/>
          <w:szCs w:val="28"/>
        </w:rPr>
      </w:pPr>
      <w:r w:rsidRPr="00405707">
        <w:rPr>
          <w:rFonts w:ascii="Times New Roman" w:hAnsi="Times New Roman" w:cs="Times New Roman"/>
          <w:sz w:val="28"/>
          <w:szCs w:val="28"/>
        </w:rPr>
        <w:tab/>
        <w:t xml:space="preserve"> </w:t>
      </w:r>
    </w:p>
    <w:p w14:paraId="7A2E36F2" w14:textId="77777777" w:rsidR="00F16E6F" w:rsidRPr="00405707" w:rsidRDefault="00F16E6F" w:rsidP="00405707">
      <w:pPr>
        <w:spacing w:line="240" w:lineRule="auto"/>
        <w:rPr>
          <w:rFonts w:ascii="Times New Roman" w:hAnsi="Times New Roman" w:cs="Times New Roman"/>
          <w:sz w:val="28"/>
          <w:szCs w:val="28"/>
        </w:rPr>
      </w:pPr>
    </w:p>
    <w:p w14:paraId="59FEC8A4" w14:textId="77777777" w:rsidR="00F16E6F" w:rsidRPr="00405707" w:rsidRDefault="00F16E6F" w:rsidP="00405707">
      <w:pPr>
        <w:spacing w:line="240" w:lineRule="auto"/>
        <w:jc w:val="center"/>
        <w:rPr>
          <w:rFonts w:ascii="Times New Roman" w:hAnsi="Times New Roman" w:cs="Times New Roman"/>
          <w:sz w:val="28"/>
          <w:szCs w:val="28"/>
        </w:rPr>
      </w:pPr>
      <w:r w:rsidRPr="00405707">
        <w:rPr>
          <w:rFonts w:ascii="Times New Roman" w:hAnsi="Times New Roman" w:cs="Times New Roman"/>
          <w:sz w:val="28"/>
          <w:szCs w:val="28"/>
        </w:rPr>
        <w:t>Relational intentionality for contacting</w:t>
      </w:r>
    </w:p>
    <w:p w14:paraId="1E64169E" w14:textId="77777777" w:rsidR="00F16E6F" w:rsidRPr="00405707" w:rsidRDefault="00F16E6F" w:rsidP="00405707">
      <w:pPr>
        <w:spacing w:line="240" w:lineRule="auto"/>
        <w:jc w:val="center"/>
        <w:rPr>
          <w:rFonts w:ascii="Times New Roman" w:hAnsi="Times New Roman" w:cs="Times New Roman"/>
          <w:i/>
          <w:iCs/>
          <w:sz w:val="28"/>
          <w:szCs w:val="28"/>
        </w:rPr>
      </w:pPr>
    </w:p>
    <w:p w14:paraId="00C4797A" w14:textId="77777777" w:rsidR="00F16E6F" w:rsidRPr="00405707" w:rsidRDefault="00F16E6F" w:rsidP="00405707">
      <w:pPr>
        <w:spacing w:line="240" w:lineRule="auto"/>
        <w:ind w:firstLine="576"/>
        <w:rPr>
          <w:rFonts w:ascii="Times New Roman" w:hAnsi="Times New Roman" w:cs="Times New Roman"/>
          <w:sz w:val="28"/>
          <w:szCs w:val="28"/>
        </w:rPr>
      </w:pPr>
      <w:r w:rsidRPr="00405707">
        <w:rPr>
          <w:rFonts w:ascii="Times New Roman" w:hAnsi="Times New Roman" w:cs="Times New Roman"/>
          <w:sz w:val="28"/>
          <w:szCs w:val="28"/>
        </w:rPr>
        <w:lastRenderedPageBreak/>
        <w:t xml:space="preserve">It is a familiar experience. We know someone is in the room before we recognize her by shape and then, by face. We had </w:t>
      </w:r>
      <w:r w:rsidRPr="00405707">
        <w:rPr>
          <w:rFonts w:ascii="Times New Roman" w:hAnsi="Times New Roman" w:cs="Times New Roman"/>
          <w:i/>
          <w:iCs/>
          <w:sz w:val="28"/>
          <w:szCs w:val="28"/>
        </w:rPr>
        <w:t xml:space="preserve">already </w:t>
      </w:r>
      <w:r w:rsidRPr="00405707">
        <w:rPr>
          <w:rFonts w:ascii="Times New Roman" w:hAnsi="Times New Roman" w:cs="Times New Roman"/>
          <w:sz w:val="28"/>
          <w:szCs w:val="28"/>
        </w:rPr>
        <w:t>breathed the air of the same lifeworld, our feet were on the same ground, our seeing was already lit by the same light before I recognized her by name. I and she were</w:t>
      </w:r>
      <w:r w:rsidRPr="00405707">
        <w:rPr>
          <w:rFonts w:ascii="Times New Roman" w:hAnsi="Times New Roman" w:cs="Times New Roman"/>
          <w:i/>
          <w:iCs/>
          <w:sz w:val="28"/>
          <w:szCs w:val="28"/>
        </w:rPr>
        <w:t>, a la</w:t>
      </w:r>
      <w:r w:rsidRPr="00405707">
        <w:rPr>
          <w:rFonts w:ascii="Times New Roman" w:hAnsi="Times New Roman" w:cs="Times New Roman"/>
          <w:sz w:val="28"/>
          <w:szCs w:val="28"/>
        </w:rPr>
        <w:t xml:space="preserve"> Merleau-Ponty, as if two hearts beating in one body. She and I were organs of one single “intercorporeity.” </w:t>
      </w:r>
      <w:r w:rsidRPr="00405707">
        <w:rPr>
          <w:rFonts w:ascii="Times New Roman" w:hAnsi="Times New Roman" w:cs="Times New Roman"/>
          <w:noProof/>
          <w:sz w:val="28"/>
          <w:szCs w:val="28"/>
        </w:rPr>
        <w:t>(Landes, 2013, p. 176)</w:t>
      </w:r>
      <w:r w:rsidRPr="00405707">
        <w:rPr>
          <w:rFonts w:ascii="Times New Roman" w:hAnsi="Times New Roman" w:cs="Times New Roman"/>
          <w:sz w:val="28"/>
          <w:szCs w:val="28"/>
        </w:rPr>
        <w:t xml:space="preserve"> </w:t>
      </w:r>
    </w:p>
    <w:p w14:paraId="0C74FB24" w14:textId="77777777" w:rsidR="00F16E6F" w:rsidRPr="00405707" w:rsidRDefault="00F16E6F" w:rsidP="00405707">
      <w:pPr>
        <w:spacing w:line="240" w:lineRule="auto"/>
        <w:ind w:firstLine="576"/>
        <w:rPr>
          <w:rFonts w:ascii="Times New Roman" w:hAnsi="Times New Roman" w:cs="Times New Roman"/>
          <w:sz w:val="28"/>
          <w:szCs w:val="28"/>
        </w:rPr>
      </w:pPr>
    </w:p>
    <w:p w14:paraId="7ED341EF" w14:textId="77777777" w:rsidR="00F16E6F" w:rsidRPr="00405707" w:rsidRDefault="00F16E6F" w:rsidP="00405707">
      <w:pPr>
        <w:spacing w:line="240" w:lineRule="auto"/>
        <w:rPr>
          <w:rFonts w:ascii="Times New Roman" w:hAnsi="Times New Roman" w:cs="Times New Roman"/>
          <w:sz w:val="28"/>
          <w:szCs w:val="28"/>
        </w:rPr>
      </w:pPr>
      <w:r w:rsidRPr="00405707">
        <w:rPr>
          <w:rFonts w:ascii="Times New Roman" w:hAnsi="Times New Roman" w:cs="Times New Roman"/>
          <w:sz w:val="28"/>
          <w:szCs w:val="28"/>
        </w:rPr>
        <w:t>Relational intentionality to responsive intentionality</w:t>
      </w:r>
    </w:p>
    <w:p w14:paraId="09955976" w14:textId="77777777" w:rsidR="00F16E6F" w:rsidRPr="00405707" w:rsidRDefault="00F16E6F" w:rsidP="00405707">
      <w:pPr>
        <w:spacing w:line="240" w:lineRule="auto"/>
        <w:ind w:left="180" w:firstLine="576"/>
        <w:rPr>
          <w:rFonts w:ascii="Times New Roman" w:hAnsi="Times New Roman" w:cs="Times New Roman"/>
          <w:sz w:val="28"/>
          <w:szCs w:val="28"/>
        </w:rPr>
      </w:pPr>
      <w:r w:rsidRPr="00405707">
        <w:rPr>
          <w:rFonts w:ascii="Times New Roman" w:hAnsi="Times New Roman" w:cs="Times New Roman"/>
          <w:sz w:val="28"/>
          <w:szCs w:val="28"/>
        </w:rPr>
        <w:t xml:space="preserve">Since intentionality emerges of the contact-boundary of the organism/environment-lifeworld field, it must also be considered relational intentionality since every intentional object of contacting is a </w:t>
      </w:r>
      <w:r w:rsidRPr="00405707">
        <w:rPr>
          <w:rFonts w:ascii="Times New Roman" w:hAnsi="Times New Roman" w:cs="Times New Roman"/>
          <w:i/>
          <w:iCs/>
          <w:sz w:val="28"/>
          <w:szCs w:val="28"/>
        </w:rPr>
        <w:t xml:space="preserve">social </w:t>
      </w:r>
      <w:r w:rsidRPr="00405707">
        <w:rPr>
          <w:rFonts w:ascii="Times New Roman" w:hAnsi="Times New Roman" w:cs="Times New Roman"/>
          <w:sz w:val="28"/>
          <w:szCs w:val="28"/>
        </w:rPr>
        <w:t xml:space="preserve">object of the lifeworld. This keyboard under my fingers, for example, is part of the social world of keyboards users. This coffee cup is part of the world of coffee drinkers and cup users. They are given to me as objects of the lifeworld already surrounded by a network or horizon of shared, relational meanings. (Husserl, 1989, pp. 205–207) The keyboard is useless until I know terms of its use by others of this world. The keys and this cup stand out as figures against a background world of others without which they are meaningless. Every figure/ground of contacting inevitably has this horizon of the lifeworld as background. This is what Husserl referred to as </w:t>
      </w:r>
      <w:r w:rsidRPr="00405707">
        <w:rPr>
          <w:rFonts w:ascii="Times New Roman" w:hAnsi="Times New Roman" w:cs="Times New Roman"/>
          <w:i/>
          <w:iCs/>
          <w:sz w:val="28"/>
          <w:szCs w:val="28"/>
        </w:rPr>
        <w:t>horizon-intentionality</w:t>
      </w:r>
      <w:r w:rsidRPr="00405707">
        <w:rPr>
          <w:rFonts w:ascii="Times New Roman" w:hAnsi="Times New Roman" w:cs="Times New Roman"/>
          <w:sz w:val="28"/>
          <w:szCs w:val="28"/>
        </w:rPr>
        <w:t xml:space="preserve"> of the lifeworld -- the context for all relational intentionalities.</w:t>
      </w:r>
      <w:r w:rsidRPr="00405707">
        <w:rPr>
          <w:rStyle w:val="FootnoteReference"/>
          <w:rFonts w:ascii="Times New Roman" w:hAnsi="Times New Roman" w:cs="Times New Roman"/>
          <w:sz w:val="28"/>
          <w:szCs w:val="28"/>
        </w:rPr>
        <w:footnoteReference w:id="4"/>
      </w:r>
      <w:r w:rsidRPr="00405707">
        <w:rPr>
          <w:rFonts w:ascii="Times New Roman" w:hAnsi="Times New Roman" w:cs="Times New Roman"/>
          <w:sz w:val="28"/>
          <w:szCs w:val="28"/>
        </w:rPr>
        <w:t xml:space="preserve">  (</w:t>
      </w:r>
      <w:r w:rsidRPr="00405707">
        <w:rPr>
          <w:rFonts w:ascii="Times New Roman" w:hAnsi="Times New Roman" w:cs="Times New Roman"/>
          <w:noProof/>
          <w:sz w:val="28"/>
          <w:szCs w:val="28"/>
        </w:rPr>
        <w:t>(Gadamer, 1976, p. 189)</w:t>
      </w:r>
      <w:r w:rsidRPr="00405707">
        <w:rPr>
          <w:rFonts w:ascii="Times New Roman" w:hAnsi="Times New Roman" w:cs="Times New Roman"/>
          <w:sz w:val="28"/>
          <w:szCs w:val="28"/>
        </w:rPr>
        <w:t xml:space="preserve"> </w:t>
      </w:r>
    </w:p>
    <w:p w14:paraId="4195C7D4" w14:textId="77777777" w:rsidR="00F16E6F" w:rsidRPr="00405707" w:rsidRDefault="00F16E6F" w:rsidP="00405707">
      <w:pPr>
        <w:spacing w:line="240" w:lineRule="auto"/>
        <w:ind w:left="90" w:firstLine="720"/>
        <w:rPr>
          <w:rFonts w:ascii="Times New Roman" w:hAnsi="Times New Roman" w:cs="Times New Roman"/>
          <w:sz w:val="28"/>
          <w:szCs w:val="28"/>
        </w:rPr>
      </w:pPr>
      <w:r w:rsidRPr="00405707">
        <w:rPr>
          <w:rFonts w:ascii="Times New Roman" w:hAnsi="Times New Roman" w:cs="Times New Roman"/>
          <w:sz w:val="28"/>
          <w:szCs w:val="28"/>
        </w:rPr>
        <w:t xml:space="preserve"> Even further, I did not merely want to contact the keys, but I </w:t>
      </w:r>
      <w:r w:rsidRPr="00405707">
        <w:rPr>
          <w:rFonts w:ascii="Times New Roman" w:hAnsi="Times New Roman" w:cs="Times New Roman"/>
          <w:i/>
          <w:iCs/>
          <w:sz w:val="28"/>
          <w:szCs w:val="28"/>
        </w:rPr>
        <w:t>intended</w:t>
      </w:r>
      <w:r w:rsidRPr="00405707">
        <w:rPr>
          <w:rFonts w:ascii="Times New Roman" w:hAnsi="Times New Roman" w:cs="Times New Roman"/>
          <w:sz w:val="28"/>
          <w:szCs w:val="28"/>
        </w:rPr>
        <w:t xml:space="preserve"> to make meaning for others by writing. Every word I am forming contains an other’s voice as an echo even as I repeat it and reform it into my own </w:t>
      </w:r>
      <w:r w:rsidRPr="00405707">
        <w:rPr>
          <w:rFonts w:ascii="Times New Roman" w:hAnsi="Times New Roman" w:cs="Times New Roman"/>
          <w:noProof/>
          <w:sz w:val="28"/>
          <w:szCs w:val="28"/>
        </w:rPr>
        <w:t>(Waldenfels, 2020)</w:t>
      </w:r>
      <w:r w:rsidRPr="00405707">
        <w:rPr>
          <w:rFonts w:ascii="Times New Roman" w:hAnsi="Times New Roman" w:cs="Times New Roman"/>
          <w:sz w:val="28"/>
          <w:szCs w:val="28"/>
        </w:rPr>
        <w:t xml:space="preserve"> every sub-vocal sound in each phrase I type is a “saying” to another of the lifeworld.   Each word on this page stands out from within a community of meaning-makers, language users, speakers, writers, and so on. It is unlikely – impossible – that I would be writing were I not in a world of others. My relational intentionality of</w:t>
      </w:r>
      <w:r w:rsidRPr="00405707">
        <w:rPr>
          <w:rFonts w:ascii="Times New Roman" w:hAnsi="Times New Roman" w:cs="Times New Roman"/>
          <w:i/>
          <w:iCs/>
          <w:sz w:val="28"/>
          <w:szCs w:val="28"/>
        </w:rPr>
        <w:t xml:space="preserve"> </w:t>
      </w:r>
      <w:r w:rsidRPr="00405707">
        <w:rPr>
          <w:rFonts w:ascii="Times New Roman" w:hAnsi="Times New Roman" w:cs="Times New Roman"/>
          <w:sz w:val="28"/>
          <w:szCs w:val="28"/>
        </w:rPr>
        <w:t>contacting this keyboard is a function of the lifeworld that is not merely threaded by a network of social references, but alive with others who are always already there, including you, the invisible readers of this chapter who are affecting me as I write this paper -- to</w:t>
      </w:r>
      <w:r w:rsidRPr="00405707">
        <w:rPr>
          <w:rFonts w:ascii="Times New Roman" w:hAnsi="Times New Roman" w:cs="Times New Roman"/>
          <w:i/>
          <w:iCs/>
          <w:sz w:val="28"/>
          <w:szCs w:val="28"/>
        </w:rPr>
        <w:t xml:space="preserve"> whom I am being responsive</w:t>
      </w:r>
      <w:r w:rsidRPr="00405707">
        <w:rPr>
          <w:rFonts w:ascii="Times New Roman" w:hAnsi="Times New Roman" w:cs="Times New Roman"/>
          <w:sz w:val="28"/>
          <w:szCs w:val="28"/>
        </w:rPr>
        <w:t xml:space="preserve">.  </w:t>
      </w:r>
    </w:p>
    <w:p w14:paraId="2A1FE031" w14:textId="77777777" w:rsidR="00F16E6F" w:rsidRPr="00405707" w:rsidRDefault="00F16E6F" w:rsidP="00405707">
      <w:pPr>
        <w:spacing w:line="240" w:lineRule="auto"/>
        <w:rPr>
          <w:rFonts w:ascii="Times New Roman" w:hAnsi="Times New Roman" w:cs="Times New Roman"/>
          <w:sz w:val="28"/>
          <w:szCs w:val="28"/>
        </w:rPr>
      </w:pPr>
    </w:p>
    <w:p w14:paraId="23E878EA" w14:textId="77777777" w:rsidR="00F16E6F" w:rsidRPr="00405707" w:rsidRDefault="00F16E6F" w:rsidP="00405707">
      <w:pPr>
        <w:spacing w:line="240" w:lineRule="auto"/>
        <w:ind w:left="2160"/>
        <w:rPr>
          <w:rFonts w:ascii="Times New Roman" w:hAnsi="Times New Roman" w:cs="Times New Roman"/>
          <w:sz w:val="28"/>
          <w:szCs w:val="28"/>
        </w:rPr>
      </w:pPr>
      <w:r w:rsidRPr="00405707">
        <w:rPr>
          <w:rFonts w:ascii="Times New Roman" w:hAnsi="Times New Roman" w:cs="Times New Roman"/>
          <w:sz w:val="28"/>
          <w:szCs w:val="28"/>
        </w:rPr>
        <w:tab/>
      </w:r>
      <w:r w:rsidRPr="00405707">
        <w:rPr>
          <w:rFonts w:ascii="Times New Roman" w:hAnsi="Times New Roman" w:cs="Times New Roman"/>
          <w:sz w:val="28"/>
          <w:szCs w:val="28"/>
        </w:rPr>
        <w:tab/>
        <w:t xml:space="preserve">I worked with Alice face to face for years. During the covid-crisis, she and I meet at the contact-boundary of tele-phenomenological field.  One day she said that unlike after the sessions in which we met face-to-face, she felt alone. after our online sessions. She felt ashamed that she spent so much time talking about herself. </w:t>
      </w:r>
    </w:p>
    <w:p w14:paraId="28737CEE" w14:textId="77777777" w:rsidR="00F16E6F" w:rsidRPr="00405707" w:rsidRDefault="00F16E6F" w:rsidP="00405707">
      <w:pPr>
        <w:spacing w:line="240" w:lineRule="auto"/>
        <w:ind w:left="2160"/>
        <w:rPr>
          <w:rFonts w:ascii="Times New Roman" w:hAnsi="Times New Roman" w:cs="Times New Roman"/>
          <w:sz w:val="28"/>
          <w:szCs w:val="28"/>
        </w:rPr>
      </w:pPr>
      <w:r w:rsidRPr="00405707">
        <w:rPr>
          <w:rFonts w:ascii="Times New Roman" w:hAnsi="Times New Roman" w:cs="Times New Roman"/>
          <w:sz w:val="28"/>
          <w:szCs w:val="28"/>
        </w:rPr>
        <w:tab/>
      </w:r>
      <w:r w:rsidRPr="00405707">
        <w:rPr>
          <w:rFonts w:ascii="Times New Roman" w:hAnsi="Times New Roman" w:cs="Times New Roman"/>
          <w:sz w:val="28"/>
          <w:szCs w:val="28"/>
        </w:rPr>
        <w:tab/>
        <w:t xml:space="preserve">“After sessions in your office, I used to have the chance to go around the corner and sit in the coffee shop and take some time for myself. There were people all around. But now the session </w:t>
      </w:r>
      <w:proofErr w:type="gramStart"/>
      <w:r w:rsidRPr="00405707">
        <w:rPr>
          <w:rFonts w:ascii="Times New Roman" w:hAnsi="Times New Roman" w:cs="Times New Roman"/>
          <w:sz w:val="28"/>
          <w:szCs w:val="28"/>
        </w:rPr>
        <w:t>ends</w:t>
      </w:r>
      <w:proofErr w:type="gramEnd"/>
      <w:r w:rsidRPr="00405707">
        <w:rPr>
          <w:rFonts w:ascii="Times New Roman" w:hAnsi="Times New Roman" w:cs="Times New Roman"/>
          <w:sz w:val="28"/>
          <w:szCs w:val="28"/>
        </w:rPr>
        <w:t xml:space="preserve"> and I am all alone.” </w:t>
      </w:r>
    </w:p>
    <w:p w14:paraId="718C7AB8" w14:textId="77777777" w:rsidR="00F16E6F" w:rsidRPr="00405707" w:rsidRDefault="00F16E6F" w:rsidP="00405707">
      <w:pPr>
        <w:spacing w:line="240" w:lineRule="auto"/>
        <w:ind w:left="1440"/>
        <w:rPr>
          <w:rFonts w:ascii="Times New Roman" w:hAnsi="Times New Roman" w:cs="Times New Roman"/>
          <w:sz w:val="28"/>
          <w:szCs w:val="28"/>
        </w:rPr>
      </w:pPr>
    </w:p>
    <w:p w14:paraId="354CD0E4" w14:textId="77777777" w:rsidR="00F16E6F" w:rsidRPr="00405707" w:rsidRDefault="00F16E6F" w:rsidP="00405707">
      <w:pPr>
        <w:spacing w:line="240" w:lineRule="auto"/>
        <w:ind w:left="2160" w:firstLine="720"/>
        <w:rPr>
          <w:rFonts w:ascii="Times New Roman" w:hAnsi="Times New Roman" w:cs="Times New Roman"/>
          <w:sz w:val="28"/>
          <w:szCs w:val="28"/>
        </w:rPr>
      </w:pPr>
      <w:r w:rsidRPr="00405707">
        <w:rPr>
          <w:rFonts w:ascii="Times New Roman" w:hAnsi="Times New Roman" w:cs="Times New Roman"/>
          <w:sz w:val="28"/>
          <w:szCs w:val="28"/>
        </w:rPr>
        <w:t xml:space="preserve">I asked Alice to take a moment and look around my office particularly look at the objects, their shapes, colors. Could she identify what they are?  Consider that they were mine or not. Could she tell me something about them and me?  Then I asked her to do the same with what was in her own room.  </w:t>
      </w:r>
    </w:p>
    <w:p w14:paraId="5EF691F8" w14:textId="77777777" w:rsidR="00F16E6F" w:rsidRPr="00405707" w:rsidRDefault="00F16E6F" w:rsidP="00405707">
      <w:pPr>
        <w:spacing w:line="240" w:lineRule="auto"/>
        <w:ind w:left="720"/>
        <w:rPr>
          <w:rFonts w:ascii="Times New Roman" w:hAnsi="Times New Roman" w:cs="Times New Roman"/>
          <w:sz w:val="28"/>
          <w:szCs w:val="28"/>
        </w:rPr>
      </w:pPr>
    </w:p>
    <w:p w14:paraId="344ABA73" w14:textId="77777777" w:rsidR="00F16E6F" w:rsidRPr="00405707" w:rsidRDefault="00F16E6F" w:rsidP="00405707">
      <w:pPr>
        <w:spacing w:line="240" w:lineRule="auto"/>
        <w:ind w:firstLine="720"/>
        <w:rPr>
          <w:rFonts w:ascii="Times New Roman" w:hAnsi="Times New Roman" w:cs="Times New Roman"/>
          <w:sz w:val="28"/>
          <w:szCs w:val="28"/>
        </w:rPr>
      </w:pPr>
      <w:r w:rsidRPr="00405707">
        <w:rPr>
          <w:rFonts w:ascii="Times New Roman" w:hAnsi="Times New Roman" w:cs="Times New Roman"/>
          <w:sz w:val="28"/>
          <w:szCs w:val="28"/>
        </w:rPr>
        <w:t xml:space="preserve">The objects she noticed soon took on social meanings as the horizon of her personal lifeworld became clearer. Some objects were hers, some her husband’s and some from various times in her life and as if extracted from her pre-given </w:t>
      </w:r>
      <w:proofErr w:type="gramStart"/>
      <w:r w:rsidRPr="00405707">
        <w:rPr>
          <w:rFonts w:ascii="Times New Roman" w:hAnsi="Times New Roman" w:cs="Times New Roman"/>
          <w:sz w:val="28"/>
          <w:szCs w:val="28"/>
        </w:rPr>
        <w:t>lived-history</w:t>
      </w:r>
      <w:proofErr w:type="gramEnd"/>
      <w:r w:rsidRPr="00405707">
        <w:rPr>
          <w:rFonts w:ascii="Times New Roman" w:hAnsi="Times New Roman" w:cs="Times New Roman"/>
          <w:sz w:val="28"/>
          <w:szCs w:val="28"/>
        </w:rPr>
        <w:t xml:space="preserve">, which is her vital past that mains part of her life, yet just beyond the edges of her memory. Those social objects of the lifeworld were in the dark background and came forward into the foreground light of the contacting process. </w:t>
      </w:r>
    </w:p>
    <w:p w14:paraId="31DFA213" w14:textId="77777777" w:rsidR="00F16E6F" w:rsidRPr="00405707" w:rsidRDefault="00F16E6F" w:rsidP="00405707">
      <w:pPr>
        <w:spacing w:line="240" w:lineRule="auto"/>
        <w:ind w:firstLine="720"/>
        <w:rPr>
          <w:rFonts w:ascii="Times New Roman" w:hAnsi="Times New Roman" w:cs="Times New Roman"/>
          <w:sz w:val="28"/>
          <w:szCs w:val="28"/>
        </w:rPr>
      </w:pPr>
      <w:r w:rsidRPr="00405707">
        <w:rPr>
          <w:rFonts w:ascii="Times New Roman" w:hAnsi="Times New Roman" w:cs="Times New Roman"/>
          <w:sz w:val="28"/>
          <w:szCs w:val="28"/>
        </w:rPr>
        <w:t>Her room itself was no longer “her” room, but the room in her family’s house and the room in a home in which her parents had condemned her for being selfish whenever she didn’t do all the household chores.  Her room became crowded and noisy with previously unheard sounds of people, some of which were now disturbing.</w:t>
      </w:r>
      <w:r w:rsidRPr="00405707">
        <w:rPr>
          <w:rStyle w:val="FootnoteReference"/>
          <w:rFonts w:ascii="Times New Roman" w:hAnsi="Times New Roman" w:cs="Times New Roman"/>
          <w:sz w:val="28"/>
          <w:szCs w:val="28"/>
        </w:rPr>
        <w:footnoteReference w:id="5"/>
      </w:r>
    </w:p>
    <w:p w14:paraId="6B5973A3" w14:textId="77777777" w:rsidR="00F16E6F" w:rsidRPr="00405707" w:rsidRDefault="00F16E6F" w:rsidP="00405707">
      <w:pPr>
        <w:spacing w:line="240" w:lineRule="auto"/>
        <w:ind w:firstLine="720"/>
        <w:rPr>
          <w:rFonts w:ascii="Times New Roman" w:hAnsi="Times New Roman" w:cs="Times New Roman"/>
          <w:sz w:val="28"/>
          <w:szCs w:val="28"/>
        </w:rPr>
      </w:pPr>
      <w:r w:rsidRPr="00405707">
        <w:rPr>
          <w:rFonts w:ascii="Times New Roman" w:hAnsi="Times New Roman" w:cs="Times New Roman"/>
          <w:sz w:val="28"/>
          <w:szCs w:val="28"/>
        </w:rPr>
        <w:t xml:space="preserve">The others were always already there </w:t>
      </w:r>
      <w:r w:rsidRPr="00405707">
        <w:rPr>
          <w:rFonts w:ascii="Times New Roman" w:hAnsi="Times New Roman" w:cs="Times New Roman"/>
          <w:noProof/>
          <w:sz w:val="28"/>
          <w:szCs w:val="28"/>
        </w:rPr>
        <w:t>(Heidegger, 1962)</w:t>
      </w:r>
      <w:r w:rsidRPr="00405707">
        <w:rPr>
          <w:rFonts w:ascii="Times New Roman" w:hAnsi="Times New Roman" w:cs="Times New Roman"/>
          <w:sz w:val="28"/>
          <w:szCs w:val="28"/>
        </w:rPr>
        <w:t xml:space="preserve"> as they are always part of the intrinsic social dimension of the contact-boundary and part of the invisible ground to which she was responsive. Our experiences pass into the </w:t>
      </w:r>
      <w:r w:rsidRPr="00405707">
        <w:rPr>
          <w:rFonts w:ascii="Times New Roman" w:hAnsi="Times New Roman" w:cs="Times New Roman"/>
          <w:sz w:val="28"/>
          <w:szCs w:val="28"/>
        </w:rPr>
        <w:lastRenderedPageBreak/>
        <w:t xml:space="preserve">memory of the last moments, hours, days, months, years and back into the lived-past, which is available to recollection or awareness. “The past is never dead. It isn’t even past.” (W. Faulkner, </w:t>
      </w:r>
      <w:proofErr w:type="gramStart"/>
      <w:r w:rsidRPr="00405707">
        <w:rPr>
          <w:rFonts w:ascii="Times New Roman" w:hAnsi="Times New Roman" w:cs="Times New Roman"/>
          <w:sz w:val="28"/>
          <w:szCs w:val="28"/>
        </w:rPr>
        <w:t>1951</w:t>
      </w:r>
      <w:r w:rsidRPr="00405707">
        <w:rPr>
          <w:rFonts w:ascii="Times New Roman" w:hAnsi="Times New Roman" w:cs="Times New Roman"/>
          <w:noProof/>
          <w:sz w:val="28"/>
          <w:szCs w:val="28"/>
        </w:rPr>
        <w:t>)</w:t>
      </w:r>
      <w:r w:rsidRPr="00405707">
        <w:rPr>
          <w:rFonts w:ascii="Times New Roman" w:hAnsi="Times New Roman" w:cs="Times New Roman"/>
          <w:sz w:val="28"/>
          <w:szCs w:val="28"/>
        </w:rPr>
        <w:t>Since</w:t>
      </w:r>
      <w:proofErr w:type="gramEnd"/>
      <w:r w:rsidRPr="00405707">
        <w:rPr>
          <w:rFonts w:ascii="Times New Roman" w:hAnsi="Times New Roman" w:cs="Times New Roman"/>
          <w:sz w:val="28"/>
          <w:szCs w:val="28"/>
        </w:rPr>
        <w:t xml:space="preserve"> social contacting becomes the ground for the emergence of all future contacting. the world of the others-in-relation are always already there, seen and unseen. This is the horizon-intentionality, mentioned above, that is the context or fringe contextualizing relational intentionality.  Responsivity is the fundamental basis for our ability to respond to our milieu </w:t>
      </w:r>
      <w:r w:rsidRPr="00405707">
        <w:rPr>
          <w:rFonts w:ascii="Times New Roman" w:hAnsi="Times New Roman" w:cs="Times New Roman"/>
          <w:noProof/>
          <w:sz w:val="28"/>
          <w:szCs w:val="28"/>
        </w:rPr>
        <w:t xml:space="preserve">(Friesen, 2014).  Without responsivity, </w:t>
      </w:r>
      <w:r w:rsidRPr="00405707">
        <w:rPr>
          <w:rFonts w:ascii="Times New Roman" w:hAnsi="Times New Roman" w:cs="Times New Roman"/>
          <w:sz w:val="28"/>
          <w:szCs w:val="28"/>
        </w:rPr>
        <w:t xml:space="preserve">relational intentionality would be lost, empty, and aimless. And would be condemned to isolation. </w:t>
      </w:r>
    </w:p>
    <w:p w14:paraId="61B63205" w14:textId="77777777" w:rsidR="00F16E6F" w:rsidRPr="00405707" w:rsidRDefault="00F16E6F" w:rsidP="00405707">
      <w:pPr>
        <w:spacing w:line="240" w:lineRule="auto"/>
        <w:ind w:firstLine="720"/>
        <w:rPr>
          <w:rFonts w:ascii="Times New Roman" w:hAnsi="Times New Roman" w:cs="Times New Roman"/>
          <w:sz w:val="28"/>
          <w:szCs w:val="28"/>
        </w:rPr>
      </w:pPr>
      <w:r w:rsidRPr="00405707">
        <w:rPr>
          <w:rFonts w:ascii="Times New Roman" w:hAnsi="Times New Roman" w:cs="Times New Roman"/>
          <w:sz w:val="28"/>
          <w:szCs w:val="28"/>
        </w:rPr>
        <w:t xml:space="preserve">Consequently, I am not deaf to the voices of the lifeworld nor blind to the hands that reach toward my hands reaching toward them. Responsivity and the ability to respond are entwined in relational intentionality. To hold the hand that holds our hand exceeds the limit of our grasp. This becomes clear from the perspective of responsive phenomenology </w:t>
      </w:r>
    </w:p>
    <w:p w14:paraId="25A9C2C2" w14:textId="77777777" w:rsidR="00F16E6F" w:rsidRPr="00405707" w:rsidRDefault="00F16E6F" w:rsidP="00405707">
      <w:pPr>
        <w:spacing w:line="240" w:lineRule="auto"/>
        <w:ind w:firstLine="720"/>
        <w:rPr>
          <w:rFonts w:ascii="Times New Roman" w:hAnsi="Times New Roman" w:cs="Times New Roman"/>
          <w:sz w:val="28"/>
          <w:szCs w:val="28"/>
        </w:rPr>
      </w:pPr>
    </w:p>
    <w:p w14:paraId="7CA15740" w14:textId="77777777" w:rsidR="00F16E6F" w:rsidRPr="00405707" w:rsidRDefault="00F16E6F" w:rsidP="00405707">
      <w:pPr>
        <w:spacing w:line="240" w:lineRule="auto"/>
        <w:ind w:left="720" w:firstLine="720"/>
        <w:rPr>
          <w:rFonts w:ascii="Times New Roman" w:hAnsi="Times New Roman" w:cs="Times New Roman"/>
          <w:sz w:val="28"/>
          <w:szCs w:val="28"/>
        </w:rPr>
      </w:pPr>
      <w:r w:rsidRPr="00405707">
        <w:rPr>
          <w:rFonts w:ascii="Times New Roman" w:hAnsi="Times New Roman" w:cs="Times New Roman"/>
          <w:sz w:val="28"/>
          <w:szCs w:val="28"/>
        </w:rPr>
        <w:t xml:space="preserve">... in which intentionality (intending, grasping something as something) is transformed into responsivity (responses to claims). </w:t>
      </w:r>
      <w:r w:rsidRPr="00405707">
        <w:rPr>
          <w:rFonts w:ascii="Times New Roman" w:hAnsi="Times New Roman" w:cs="Times New Roman"/>
          <w:i/>
          <w:iCs/>
          <w:sz w:val="28"/>
          <w:szCs w:val="28"/>
        </w:rPr>
        <w:t xml:space="preserve">What </w:t>
      </w:r>
      <w:r w:rsidRPr="00405707">
        <w:rPr>
          <w:rFonts w:ascii="Times New Roman" w:hAnsi="Times New Roman" w:cs="Times New Roman"/>
          <w:sz w:val="28"/>
          <w:szCs w:val="28"/>
        </w:rPr>
        <w:t xml:space="preserve">we respond to is always more than the </w:t>
      </w:r>
      <w:r w:rsidRPr="00405707">
        <w:rPr>
          <w:rFonts w:ascii="Times New Roman" w:hAnsi="Times New Roman" w:cs="Times New Roman"/>
          <w:i/>
          <w:iCs/>
          <w:sz w:val="28"/>
          <w:szCs w:val="28"/>
        </w:rPr>
        <w:t xml:space="preserve">answer </w:t>
      </w:r>
      <w:r w:rsidRPr="00405707">
        <w:rPr>
          <w:rFonts w:ascii="Times New Roman" w:hAnsi="Times New Roman" w:cs="Times New Roman"/>
          <w:sz w:val="28"/>
          <w:szCs w:val="28"/>
        </w:rPr>
        <w:t>we give under certain circumstances and within certain [situations]. Rationality can thus be understood as responsive rationality stemming from the creative answers themselves... (as quoted in Waldenfels 1997, p. xvii) (</w:t>
      </w:r>
      <w:r w:rsidRPr="00405707">
        <w:rPr>
          <w:rFonts w:ascii="Times New Roman" w:hAnsi="Times New Roman" w:cs="Times New Roman"/>
          <w:noProof/>
          <w:sz w:val="28"/>
          <w:szCs w:val="28"/>
        </w:rPr>
        <w:t>Friesen, 2014, p 68)</w:t>
      </w:r>
    </w:p>
    <w:p w14:paraId="549D3D17" w14:textId="77777777" w:rsidR="00F16E6F" w:rsidRPr="00405707" w:rsidRDefault="00F16E6F" w:rsidP="00405707">
      <w:pPr>
        <w:spacing w:line="240" w:lineRule="auto"/>
        <w:ind w:firstLine="720"/>
        <w:rPr>
          <w:rFonts w:ascii="Times New Roman" w:hAnsi="Times New Roman" w:cs="Times New Roman"/>
          <w:sz w:val="28"/>
          <w:szCs w:val="28"/>
        </w:rPr>
      </w:pPr>
    </w:p>
    <w:p w14:paraId="2F3D8B86" w14:textId="77777777" w:rsidR="00F16E6F" w:rsidRPr="00405707" w:rsidRDefault="00F16E6F" w:rsidP="00405707">
      <w:pPr>
        <w:spacing w:line="240" w:lineRule="auto"/>
        <w:ind w:left="864" w:firstLine="576"/>
        <w:rPr>
          <w:rFonts w:ascii="Times New Roman" w:hAnsi="Times New Roman" w:cs="Times New Roman"/>
          <w:sz w:val="28"/>
          <w:szCs w:val="28"/>
        </w:rPr>
      </w:pPr>
      <w:r w:rsidRPr="00405707">
        <w:rPr>
          <w:rFonts w:ascii="Times New Roman" w:hAnsi="Times New Roman" w:cs="Times New Roman"/>
          <w:sz w:val="28"/>
          <w:szCs w:val="28"/>
        </w:rPr>
        <w:t>Responsive intentionality: clinical willingness</w:t>
      </w:r>
    </w:p>
    <w:p w14:paraId="671E6A4B" w14:textId="77777777" w:rsidR="00F16E6F" w:rsidRPr="00405707" w:rsidRDefault="00F16E6F" w:rsidP="00405707">
      <w:pPr>
        <w:spacing w:line="240" w:lineRule="auto"/>
        <w:ind w:left="864" w:firstLine="576"/>
        <w:rPr>
          <w:rFonts w:ascii="Times New Roman" w:hAnsi="Times New Roman" w:cs="Times New Roman"/>
          <w:sz w:val="28"/>
          <w:szCs w:val="28"/>
        </w:rPr>
      </w:pPr>
    </w:p>
    <w:p w14:paraId="14E0BE8D" w14:textId="77777777" w:rsidR="00F16E6F" w:rsidRPr="00405707" w:rsidRDefault="00F16E6F" w:rsidP="00405707">
      <w:pPr>
        <w:spacing w:line="240" w:lineRule="auto"/>
        <w:rPr>
          <w:rFonts w:ascii="Times New Roman" w:hAnsi="Times New Roman" w:cs="Times New Roman"/>
          <w:sz w:val="28"/>
          <w:szCs w:val="28"/>
        </w:rPr>
      </w:pPr>
      <w:r w:rsidRPr="00405707">
        <w:rPr>
          <w:rFonts w:ascii="Times New Roman" w:hAnsi="Times New Roman" w:cs="Times New Roman"/>
          <w:sz w:val="28"/>
          <w:szCs w:val="28"/>
        </w:rPr>
        <w:t>To hold the hand…</w:t>
      </w:r>
    </w:p>
    <w:p w14:paraId="0CFAF201" w14:textId="77777777" w:rsidR="00F16E6F" w:rsidRPr="00405707" w:rsidRDefault="00F16E6F" w:rsidP="00405707">
      <w:pPr>
        <w:spacing w:line="240" w:lineRule="auto"/>
        <w:ind w:firstLine="720"/>
        <w:rPr>
          <w:rFonts w:ascii="Times New Roman" w:hAnsi="Times New Roman" w:cs="Times New Roman"/>
          <w:sz w:val="28"/>
          <w:szCs w:val="28"/>
        </w:rPr>
      </w:pPr>
      <w:r w:rsidRPr="00405707">
        <w:rPr>
          <w:rFonts w:ascii="Times New Roman" w:hAnsi="Times New Roman" w:cs="Times New Roman"/>
          <w:sz w:val="28"/>
          <w:szCs w:val="28"/>
        </w:rPr>
        <w:t xml:space="preserve">It is easy to experience the phenomena of responsive intentionality’s responsivity and capacity to respond.  We know that “contact” is derived from the Latin, </w:t>
      </w:r>
      <w:r w:rsidRPr="00405707">
        <w:rPr>
          <w:rFonts w:ascii="Times New Roman" w:hAnsi="Times New Roman" w:cs="Times New Roman"/>
          <w:i/>
          <w:iCs/>
          <w:sz w:val="28"/>
          <w:szCs w:val="28"/>
        </w:rPr>
        <w:t>contactus</w:t>
      </w:r>
      <w:r w:rsidRPr="00405707">
        <w:rPr>
          <w:rFonts w:ascii="Times New Roman" w:hAnsi="Times New Roman" w:cs="Times New Roman"/>
          <w:sz w:val="28"/>
          <w:szCs w:val="28"/>
        </w:rPr>
        <w:t>, “a touching.” https://www.etymonline.com/word/contact. We demonstrate contacting in various ways. I touch one hand to the other</w:t>
      </w:r>
      <w:r w:rsidRPr="00405707">
        <w:rPr>
          <w:rStyle w:val="FootnoteReference"/>
          <w:rFonts w:ascii="Times New Roman" w:hAnsi="Times New Roman" w:cs="Times New Roman"/>
          <w:sz w:val="28"/>
          <w:szCs w:val="28"/>
        </w:rPr>
        <w:footnoteReference w:id="6"/>
      </w:r>
      <w:r w:rsidRPr="00405707">
        <w:rPr>
          <w:rFonts w:ascii="Times New Roman" w:hAnsi="Times New Roman" w:cs="Times New Roman"/>
          <w:sz w:val="28"/>
          <w:szCs w:val="28"/>
        </w:rPr>
        <w:t xml:space="preserve">. A world of sensations and experiences of being touched and touching </w:t>
      </w:r>
      <w:proofErr w:type="gramStart"/>
      <w:r w:rsidRPr="00405707">
        <w:rPr>
          <w:rFonts w:ascii="Times New Roman" w:hAnsi="Times New Roman" w:cs="Times New Roman"/>
          <w:sz w:val="28"/>
          <w:szCs w:val="28"/>
        </w:rPr>
        <w:t>opens up</w:t>
      </w:r>
      <w:proofErr w:type="gramEnd"/>
      <w:r w:rsidRPr="00405707">
        <w:rPr>
          <w:rFonts w:ascii="Times New Roman" w:hAnsi="Times New Roman" w:cs="Times New Roman"/>
          <w:sz w:val="28"/>
          <w:szCs w:val="28"/>
        </w:rPr>
        <w:t>. Warmth</w:t>
      </w:r>
      <w:r w:rsidRPr="00405707">
        <w:rPr>
          <w:rFonts w:ascii="Times New Roman" w:hAnsi="Times New Roman" w:cs="Times New Roman"/>
          <w:i/>
          <w:iCs/>
          <w:sz w:val="28"/>
          <w:szCs w:val="28"/>
        </w:rPr>
        <w:t xml:space="preserve"> and</w:t>
      </w:r>
      <w:r w:rsidRPr="00405707">
        <w:rPr>
          <w:rFonts w:ascii="Times New Roman" w:hAnsi="Times New Roman" w:cs="Times New Roman"/>
          <w:sz w:val="28"/>
          <w:szCs w:val="28"/>
        </w:rPr>
        <w:t xml:space="preserve"> pressures.  Push </w:t>
      </w:r>
      <w:r w:rsidRPr="00405707">
        <w:rPr>
          <w:rFonts w:ascii="Times New Roman" w:hAnsi="Times New Roman" w:cs="Times New Roman"/>
          <w:i/>
          <w:iCs/>
          <w:sz w:val="28"/>
          <w:szCs w:val="28"/>
        </w:rPr>
        <w:t>and</w:t>
      </w:r>
      <w:r w:rsidRPr="00405707">
        <w:rPr>
          <w:rFonts w:ascii="Times New Roman" w:hAnsi="Times New Roman" w:cs="Times New Roman"/>
          <w:sz w:val="28"/>
          <w:szCs w:val="28"/>
        </w:rPr>
        <w:t xml:space="preserve"> weight. I reverse the touching and the touched and mirror the experience. Sensing hand and sensible hand. My felt hand is a </w:t>
      </w:r>
      <w:r w:rsidRPr="00405707">
        <w:rPr>
          <w:rFonts w:ascii="Times New Roman" w:hAnsi="Times New Roman" w:cs="Times New Roman"/>
          <w:i/>
          <w:iCs/>
          <w:sz w:val="28"/>
          <w:szCs w:val="28"/>
        </w:rPr>
        <w:t xml:space="preserve">sensible </w:t>
      </w:r>
      <w:r w:rsidRPr="00405707">
        <w:rPr>
          <w:rFonts w:ascii="Times New Roman" w:hAnsi="Times New Roman" w:cs="Times New Roman"/>
          <w:sz w:val="28"/>
          <w:szCs w:val="28"/>
        </w:rPr>
        <w:t xml:space="preserve">object just like any other object I can touch; my </w:t>
      </w:r>
      <w:r w:rsidRPr="00405707">
        <w:rPr>
          <w:rFonts w:ascii="Times New Roman" w:hAnsi="Times New Roman" w:cs="Times New Roman"/>
          <w:i/>
          <w:iCs/>
          <w:sz w:val="28"/>
          <w:szCs w:val="28"/>
        </w:rPr>
        <w:t>sensing</w:t>
      </w:r>
      <w:r w:rsidRPr="00405707">
        <w:rPr>
          <w:rFonts w:ascii="Times New Roman" w:hAnsi="Times New Roman" w:cs="Times New Roman"/>
          <w:sz w:val="28"/>
          <w:szCs w:val="28"/>
        </w:rPr>
        <w:t xml:space="preserve"> opens different worlds of experience, unseen. </w:t>
      </w:r>
    </w:p>
    <w:p w14:paraId="1222CE7B" w14:textId="77777777" w:rsidR="00F16E6F" w:rsidRPr="00405707" w:rsidRDefault="00F16E6F" w:rsidP="00405707">
      <w:pPr>
        <w:spacing w:line="240" w:lineRule="auto"/>
        <w:ind w:firstLine="576"/>
        <w:rPr>
          <w:rFonts w:ascii="Times New Roman" w:hAnsi="Times New Roman" w:cs="Times New Roman"/>
          <w:sz w:val="28"/>
          <w:szCs w:val="28"/>
        </w:rPr>
      </w:pPr>
      <w:r w:rsidRPr="00405707">
        <w:rPr>
          <w:rFonts w:ascii="Times New Roman" w:hAnsi="Times New Roman" w:cs="Times New Roman"/>
          <w:sz w:val="28"/>
          <w:szCs w:val="28"/>
        </w:rPr>
        <w:lastRenderedPageBreak/>
        <w:t xml:space="preserve">Now I clasp my hands together and there is even a time when I don't know which hand is which. I experience myself as a body “inserted into the world,” feeling </w:t>
      </w:r>
      <w:r w:rsidRPr="00405707">
        <w:rPr>
          <w:rFonts w:ascii="Times New Roman" w:hAnsi="Times New Roman" w:cs="Times New Roman"/>
          <w:i/>
          <w:iCs/>
          <w:sz w:val="28"/>
          <w:szCs w:val="28"/>
        </w:rPr>
        <w:t xml:space="preserve">and </w:t>
      </w:r>
      <w:r w:rsidRPr="00405707">
        <w:rPr>
          <w:rFonts w:ascii="Times New Roman" w:hAnsi="Times New Roman" w:cs="Times New Roman"/>
          <w:sz w:val="28"/>
          <w:szCs w:val="28"/>
        </w:rPr>
        <w:t xml:space="preserve">felt, seeing </w:t>
      </w:r>
      <w:r w:rsidRPr="00405707">
        <w:rPr>
          <w:rFonts w:ascii="Times New Roman" w:hAnsi="Times New Roman" w:cs="Times New Roman"/>
          <w:i/>
          <w:iCs/>
          <w:sz w:val="28"/>
          <w:szCs w:val="28"/>
        </w:rPr>
        <w:t>and</w:t>
      </w:r>
      <w:r w:rsidRPr="00405707">
        <w:rPr>
          <w:rFonts w:ascii="Times New Roman" w:hAnsi="Times New Roman" w:cs="Times New Roman"/>
          <w:sz w:val="28"/>
          <w:szCs w:val="28"/>
        </w:rPr>
        <w:t xml:space="preserve"> seen, </w:t>
      </w:r>
      <w:r w:rsidRPr="00405707">
        <w:rPr>
          <w:rFonts w:ascii="Times New Roman" w:hAnsi="Times New Roman" w:cs="Times New Roman"/>
          <w:i/>
          <w:iCs/>
          <w:sz w:val="28"/>
          <w:szCs w:val="28"/>
        </w:rPr>
        <w:t xml:space="preserve">invisible and </w:t>
      </w:r>
      <w:r w:rsidRPr="00405707">
        <w:rPr>
          <w:rFonts w:ascii="Times New Roman" w:hAnsi="Times New Roman" w:cs="Times New Roman"/>
          <w:sz w:val="28"/>
          <w:szCs w:val="28"/>
        </w:rPr>
        <w:t>in</w:t>
      </w:r>
      <w:r w:rsidRPr="00405707">
        <w:rPr>
          <w:rFonts w:ascii="Times New Roman" w:hAnsi="Times New Roman" w:cs="Times New Roman"/>
          <w:i/>
          <w:iCs/>
          <w:sz w:val="28"/>
          <w:szCs w:val="28"/>
        </w:rPr>
        <w:t>visible</w:t>
      </w:r>
      <w:r w:rsidRPr="00405707">
        <w:rPr>
          <w:rFonts w:ascii="Times New Roman" w:hAnsi="Times New Roman" w:cs="Times New Roman"/>
          <w:sz w:val="28"/>
          <w:szCs w:val="28"/>
        </w:rPr>
        <w:t xml:space="preserve"> as the chiasm or enfolding of Merleau-Ponty’s phenomenology by which he resolves the mind/body dualism. </w:t>
      </w:r>
      <w:r w:rsidRPr="00405707">
        <w:rPr>
          <w:rFonts w:ascii="Times New Roman" w:hAnsi="Times New Roman" w:cs="Times New Roman"/>
          <w:noProof/>
          <w:sz w:val="28"/>
          <w:szCs w:val="28"/>
        </w:rPr>
        <w:t>(Merleau-Ponty, 1968)</w:t>
      </w:r>
      <w:r w:rsidRPr="00405707">
        <w:rPr>
          <w:rFonts w:ascii="Times New Roman" w:hAnsi="Times New Roman" w:cs="Times New Roman"/>
          <w:sz w:val="28"/>
          <w:szCs w:val="28"/>
        </w:rPr>
        <w:t xml:space="preserve"> This is the </w:t>
      </w:r>
      <w:r w:rsidRPr="00405707">
        <w:rPr>
          <w:rFonts w:ascii="Times New Roman" w:hAnsi="Times New Roman" w:cs="Times New Roman"/>
          <w:i/>
          <w:iCs/>
          <w:sz w:val="28"/>
          <w:szCs w:val="28"/>
        </w:rPr>
        <w:t>interleafing</w:t>
      </w:r>
      <w:r w:rsidRPr="00405707">
        <w:rPr>
          <w:rFonts w:ascii="Times New Roman" w:hAnsi="Times New Roman" w:cs="Times New Roman"/>
          <w:sz w:val="28"/>
          <w:szCs w:val="28"/>
        </w:rPr>
        <w:t xml:space="preserve"> of being responsive and responding, touched-being-touched-touching at the contact-boundary of the organism/environment-lifeworld field. </w:t>
      </w:r>
    </w:p>
    <w:p w14:paraId="5C580E69" w14:textId="77777777" w:rsidR="00F16E6F" w:rsidRPr="00405707" w:rsidRDefault="00F16E6F" w:rsidP="00405707">
      <w:pPr>
        <w:spacing w:line="240" w:lineRule="auto"/>
        <w:rPr>
          <w:rFonts w:ascii="Times New Roman" w:hAnsi="Times New Roman" w:cs="Times New Roman"/>
          <w:sz w:val="28"/>
          <w:szCs w:val="28"/>
        </w:rPr>
      </w:pPr>
      <w:r w:rsidRPr="00405707">
        <w:rPr>
          <w:rFonts w:ascii="Times New Roman" w:hAnsi="Times New Roman" w:cs="Times New Roman"/>
          <w:sz w:val="28"/>
          <w:szCs w:val="28"/>
        </w:rPr>
        <w:tab/>
        <w:t xml:space="preserve">This experience is taken to another register when I touch the hand of another person or look into another person’s eyes.  It is at this level that the capacity to respond and potential for responsivity reveal a different perspective on the relational field.  It is an example of the emergence of responsive intentionality of the organism/environment lifeworld field. </w:t>
      </w:r>
    </w:p>
    <w:p w14:paraId="392DC828" w14:textId="77777777" w:rsidR="00F16E6F" w:rsidRPr="00405707" w:rsidRDefault="00F16E6F" w:rsidP="00405707">
      <w:pPr>
        <w:spacing w:line="240" w:lineRule="auto"/>
        <w:ind w:firstLine="720"/>
        <w:rPr>
          <w:rFonts w:ascii="Times New Roman" w:hAnsi="Times New Roman" w:cs="Times New Roman"/>
          <w:sz w:val="28"/>
          <w:szCs w:val="28"/>
        </w:rPr>
      </w:pPr>
      <w:r w:rsidRPr="00405707">
        <w:rPr>
          <w:rFonts w:ascii="Times New Roman" w:hAnsi="Times New Roman" w:cs="Times New Roman"/>
          <w:sz w:val="28"/>
          <w:szCs w:val="28"/>
        </w:rPr>
        <w:t>Responsive intentionality characterizes a clinician’s willingness (</w:t>
      </w:r>
      <w:r w:rsidRPr="00405707">
        <w:rPr>
          <w:rFonts w:ascii="Times New Roman" w:hAnsi="Times New Roman" w:cs="Times New Roman"/>
          <w:noProof/>
          <w:sz w:val="28"/>
          <w:szCs w:val="28"/>
        </w:rPr>
        <w:t>Orange, 2018)</w:t>
      </w:r>
      <w:r w:rsidRPr="00405707">
        <w:rPr>
          <w:rFonts w:ascii="Times New Roman" w:hAnsi="Times New Roman" w:cs="Times New Roman"/>
          <w:sz w:val="28"/>
          <w:szCs w:val="28"/>
        </w:rPr>
        <w:t xml:space="preserve"> to go along with the developing figure, not merely as a partner, not as someone who retreats to the background as a listener nor as someone who </w:t>
      </w:r>
      <w:proofErr w:type="gramStart"/>
      <w:r w:rsidRPr="00405707">
        <w:rPr>
          <w:rFonts w:ascii="Times New Roman" w:hAnsi="Times New Roman" w:cs="Times New Roman"/>
          <w:sz w:val="28"/>
          <w:szCs w:val="28"/>
        </w:rPr>
        <w:t>reflects back</w:t>
      </w:r>
      <w:proofErr w:type="gramEnd"/>
      <w:r w:rsidRPr="00405707">
        <w:rPr>
          <w:rFonts w:ascii="Times New Roman" w:hAnsi="Times New Roman" w:cs="Times New Roman"/>
          <w:sz w:val="28"/>
          <w:szCs w:val="28"/>
        </w:rPr>
        <w:t xml:space="preserve"> to the patient what he or she has “heard.”  The therapist is along-with and fully engaged in the figure/ground process, as touched and touching, responsive and responding. The Gestalt therapist Ruella Frank demonstrates a version of responsive intentionality in her trainings when she asks two people to balance a large ball between them by supporting the ball with both of their hands. She asks them to vary the pressure of their grip and notice their sense of the other.  Invariably each person experiences the other as part of one whole experience-- poised in intersubjective equilibrium by the dance of responsivity and responding in responsive intentionality. Each person is committed to a willingness to go along with the sense of the other emerging of the contact-boundary. </w:t>
      </w:r>
    </w:p>
    <w:p w14:paraId="2C648398" w14:textId="77777777" w:rsidR="00F16E6F" w:rsidRPr="00405707" w:rsidRDefault="00F16E6F" w:rsidP="00405707">
      <w:pPr>
        <w:spacing w:line="240" w:lineRule="auto"/>
        <w:ind w:firstLine="576"/>
        <w:rPr>
          <w:rFonts w:ascii="Times New Roman" w:hAnsi="Times New Roman" w:cs="Times New Roman"/>
          <w:sz w:val="28"/>
          <w:szCs w:val="28"/>
        </w:rPr>
      </w:pPr>
      <w:r w:rsidRPr="00405707">
        <w:rPr>
          <w:rFonts w:ascii="Times New Roman" w:hAnsi="Times New Roman" w:cs="Times New Roman"/>
          <w:sz w:val="28"/>
          <w:szCs w:val="28"/>
        </w:rPr>
        <w:t xml:space="preserve">Acknowledged or not, this cannot be otherwise in clinical situations since patient and therapist </w:t>
      </w:r>
      <w:r w:rsidRPr="00405707">
        <w:rPr>
          <w:rFonts w:ascii="Times New Roman" w:hAnsi="Times New Roman" w:cs="Times New Roman"/>
          <w:i/>
          <w:iCs/>
          <w:sz w:val="28"/>
          <w:szCs w:val="28"/>
        </w:rPr>
        <w:t>undergo</w:t>
      </w:r>
      <w:r w:rsidRPr="00405707">
        <w:rPr>
          <w:rFonts w:ascii="Times New Roman" w:hAnsi="Times New Roman" w:cs="Times New Roman"/>
          <w:sz w:val="28"/>
          <w:szCs w:val="28"/>
        </w:rPr>
        <w:t xml:space="preserve"> a common situation and resonate to the kinesthetics of the horizon extending in all directions at the contact-boundary of the organism/environment-lifeworld-field.  Responsive intentionality is a function of this undergoing of the situation. “To undergo” stresses the simple phenomenality that responsivity is an experience of something that happens rather than done. That is, it is </w:t>
      </w:r>
    </w:p>
    <w:p w14:paraId="271928A0" w14:textId="77777777" w:rsidR="00F16E6F" w:rsidRPr="00405707" w:rsidRDefault="00F16E6F" w:rsidP="00405707">
      <w:pPr>
        <w:spacing w:line="240" w:lineRule="auto"/>
        <w:ind w:left="720" w:firstLine="576"/>
        <w:rPr>
          <w:rFonts w:ascii="Times New Roman" w:hAnsi="Times New Roman" w:cs="Times New Roman"/>
          <w:sz w:val="28"/>
          <w:szCs w:val="28"/>
        </w:rPr>
      </w:pPr>
      <w:r w:rsidRPr="00405707">
        <w:rPr>
          <w:rFonts w:ascii="Times New Roman" w:hAnsi="Times New Roman" w:cs="Times New Roman"/>
          <w:sz w:val="28"/>
          <w:szCs w:val="28"/>
        </w:rPr>
        <w:t xml:space="preserve">something which provokes sense [meaning] without being meaningful itself yet still as something </w:t>
      </w:r>
      <w:r w:rsidRPr="00405707">
        <w:rPr>
          <w:rFonts w:ascii="Times New Roman" w:hAnsi="Times New Roman" w:cs="Times New Roman"/>
          <w:i/>
          <w:iCs/>
          <w:sz w:val="28"/>
          <w:szCs w:val="28"/>
        </w:rPr>
        <w:t xml:space="preserve">by which </w:t>
      </w:r>
      <w:r w:rsidRPr="00405707">
        <w:rPr>
          <w:rFonts w:ascii="Times New Roman" w:hAnsi="Times New Roman" w:cs="Times New Roman"/>
          <w:sz w:val="28"/>
          <w:szCs w:val="28"/>
        </w:rPr>
        <w:t xml:space="preserve">we are touched, affected, stimulated, surprised and to some extent violated. I call this happening </w:t>
      </w:r>
      <w:r w:rsidRPr="00405707">
        <w:rPr>
          <w:rFonts w:ascii="Times New Roman" w:hAnsi="Times New Roman" w:cs="Times New Roman"/>
          <w:i/>
          <w:iCs/>
          <w:sz w:val="28"/>
          <w:szCs w:val="28"/>
        </w:rPr>
        <w:t>pathos</w:t>
      </w:r>
      <w:r w:rsidRPr="00405707">
        <w:rPr>
          <w:rFonts w:ascii="Times New Roman" w:hAnsi="Times New Roman" w:cs="Times New Roman"/>
          <w:sz w:val="28"/>
          <w:szCs w:val="28"/>
        </w:rPr>
        <w:t xml:space="preserve">, </w:t>
      </w:r>
      <w:proofErr w:type="spellStart"/>
      <w:r w:rsidRPr="00405707">
        <w:rPr>
          <w:rFonts w:ascii="Times New Roman" w:hAnsi="Times New Roman" w:cs="Times New Roman"/>
          <w:i/>
          <w:iCs/>
          <w:sz w:val="28"/>
          <w:szCs w:val="28"/>
        </w:rPr>
        <w:t>Widerfahrnis</w:t>
      </w:r>
      <w:proofErr w:type="spellEnd"/>
      <w:r w:rsidRPr="00405707">
        <w:rPr>
          <w:rFonts w:ascii="Times New Roman" w:hAnsi="Times New Roman" w:cs="Times New Roman"/>
          <w:i/>
          <w:iCs/>
          <w:sz w:val="28"/>
          <w:szCs w:val="28"/>
        </w:rPr>
        <w:t xml:space="preserve"> </w:t>
      </w:r>
      <w:r w:rsidRPr="00405707">
        <w:rPr>
          <w:rFonts w:ascii="Times New Roman" w:hAnsi="Times New Roman" w:cs="Times New Roman"/>
          <w:sz w:val="28"/>
          <w:szCs w:val="28"/>
        </w:rPr>
        <w:t xml:space="preserve">or </w:t>
      </w:r>
      <w:proofErr w:type="spellStart"/>
      <w:r w:rsidRPr="00405707">
        <w:rPr>
          <w:rFonts w:ascii="Times New Roman" w:hAnsi="Times New Roman" w:cs="Times New Roman"/>
          <w:sz w:val="28"/>
          <w:szCs w:val="28"/>
        </w:rPr>
        <w:t>af-fect</w:t>
      </w:r>
      <w:proofErr w:type="spellEnd"/>
      <w:r w:rsidRPr="00405707">
        <w:rPr>
          <w:rFonts w:ascii="Times New Roman" w:hAnsi="Times New Roman" w:cs="Times New Roman"/>
          <w:sz w:val="28"/>
          <w:szCs w:val="28"/>
        </w:rPr>
        <w:t xml:space="preserve">, marked by a hyphen in order to suggest that something is done </w:t>
      </w:r>
      <w:r w:rsidRPr="00405707">
        <w:rPr>
          <w:rFonts w:ascii="Times New Roman" w:hAnsi="Times New Roman" w:cs="Times New Roman"/>
          <w:i/>
          <w:iCs/>
          <w:sz w:val="28"/>
          <w:szCs w:val="28"/>
        </w:rPr>
        <w:t>to us.</w:t>
      </w:r>
      <w:r w:rsidRPr="00405707">
        <w:rPr>
          <w:rFonts w:ascii="Times New Roman" w:hAnsi="Times New Roman" w:cs="Times New Roman"/>
          <w:sz w:val="28"/>
          <w:szCs w:val="28"/>
        </w:rPr>
        <w:t xml:space="preserve"> </w:t>
      </w:r>
      <w:proofErr w:type="gramStart"/>
      <w:r w:rsidRPr="00405707">
        <w:rPr>
          <w:rFonts w:ascii="Times New Roman" w:hAnsi="Times New Roman" w:cs="Times New Roman"/>
          <w:sz w:val="28"/>
          <w:szCs w:val="28"/>
        </w:rPr>
        <w:t>( emphases</w:t>
      </w:r>
      <w:proofErr w:type="gramEnd"/>
      <w:r w:rsidRPr="00405707">
        <w:rPr>
          <w:rFonts w:ascii="Times New Roman" w:hAnsi="Times New Roman" w:cs="Times New Roman"/>
          <w:sz w:val="28"/>
          <w:szCs w:val="28"/>
        </w:rPr>
        <w:t xml:space="preserve"> in original)</w:t>
      </w:r>
      <w:r w:rsidRPr="00405707">
        <w:rPr>
          <w:rFonts w:ascii="Times New Roman" w:hAnsi="Times New Roman" w:cs="Times New Roman"/>
          <w:i/>
          <w:iCs/>
          <w:sz w:val="28"/>
          <w:szCs w:val="28"/>
        </w:rPr>
        <w:t xml:space="preserve"> </w:t>
      </w:r>
      <w:r w:rsidRPr="00405707">
        <w:rPr>
          <w:rFonts w:ascii="Times New Roman" w:hAnsi="Times New Roman" w:cs="Times New Roman"/>
          <w:sz w:val="28"/>
          <w:szCs w:val="28"/>
        </w:rPr>
        <w:t xml:space="preserve">(Waldenfels, 2007, p. 74 in </w:t>
      </w:r>
      <w:r w:rsidRPr="00405707">
        <w:rPr>
          <w:rFonts w:ascii="Times New Roman" w:hAnsi="Times New Roman" w:cs="Times New Roman"/>
          <w:noProof/>
          <w:sz w:val="28"/>
          <w:szCs w:val="28"/>
        </w:rPr>
        <w:t>Friesen, 2014, p. 72)</w:t>
      </w:r>
    </w:p>
    <w:p w14:paraId="0B3843C4" w14:textId="77777777" w:rsidR="00F16E6F" w:rsidRPr="00405707" w:rsidRDefault="00F16E6F" w:rsidP="00405707">
      <w:pPr>
        <w:spacing w:line="240" w:lineRule="auto"/>
        <w:ind w:firstLine="144"/>
        <w:rPr>
          <w:rFonts w:ascii="Times New Roman" w:hAnsi="Times New Roman" w:cs="Times New Roman"/>
          <w:sz w:val="28"/>
          <w:szCs w:val="28"/>
        </w:rPr>
      </w:pPr>
      <w:r w:rsidRPr="00405707">
        <w:rPr>
          <w:rFonts w:ascii="Times New Roman" w:hAnsi="Times New Roman" w:cs="Times New Roman"/>
          <w:sz w:val="28"/>
          <w:szCs w:val="28"/>
        </w:rPr>
        <w:lastRenderedPageBreak/>
        <w:t xml:space="preserve">    Responsivity, then, is a functioning of the dative self, that is the self to which something is given. Responding, on other hand, is a function of the agentic or active self.  In terms of the awareness-consciousness continuum of contacting, responsivity is linked to wariness, watchfulness, responsiveness to the situation. Awareness. Responding is deliberate, choiceful and </w:t>
      </w:r>
      <w:proofErr w:type="gramStart"/>
      <w:r w:rsidRPr="00405707">
        <w:rPr>
          <w:rFonts w:ascii="Times New Roman" w:hAnsi="Times New Roman" w:cs="Times New Roman"/>
          <w:sz w:val="28"/>
          <w:szCs w:val="28"/>
        </w:rPr>
        <w:t>more or less conscious</w:t>
      </w:r>
      <w:proofErr w:type="gramEnd"/>
      <w:r w:rsidRPr="00405707">
        <w:rPr>
          <w:rFonts w:ascii="Times New Roman" w:hAnsi="Times New Roman" w:cs="Times New Roman"/>
          <w:sz w:val="28"/>
          <w:szCs w:val="28"/>
        </w:rPr>
        <w:t xml:space="preserve">. </w:t>
      </w:r>
      <w:r w:rsidRPr="00405707">
        <w:rPr>
          <w:rFonts w:ascii="Times New Roman" w:hAnsi="Times New Roman" w:cs="Times New Roman"/>
          <w:noProof/>
          <w:sz w:val="28"/>
          <w:szCs w:val="28"/>
        </w:rPr>
        <w:t>(Bloom, 2019a)</w:t>
      </w:r>
    </w:p>
    <w:p w14:paraId="088C6E2E" w14:textId="77777777" w:rsidR="00F16E6F" w:rsidRPr="00405707" w:rsidRDefault="00F16E6F" w:rsidP="00405707">
      <w:pPr>
        <w:spacing w:line="240" w:lineRule="auto"/>
        <w:ind w:firstLine="576"/>
        <w:rPr>
          <w:rFonts w:ascii="Times New Roman" w:hAnsi="Times New Roman" w:cs="Times New Roman"/>
          <w:sz w:val="28"/>
          <w:szCs w:val="28"/>
        </w:rPr>
      </w:pPr>
      <w:r w:rsidRPr="00405707">
        <w:rPr>
          <w:rFonts w:ascii="Times New Roman" w:hAnsi="Times New Roman" w:cs="Times New Roman"/>
          <w:sz w:val="28"/>
          <w:szCs w:val="28"/>
        </w:rPr>
        <w:t xml:space="preserve">The pre-given and </w:t>
      </w:r>
      <w:r w:rsidRPr="00405707">
        <w:rPr>
          <w:rFonts w:ascii="Times New Roman" w:hAnsi="Times New Roman" w:cs="Times New Roman"/>
          <w:i/>
          <w:iCs/>
          <w:sz w:val="28"/>
          <w:szCs w:val="28"/>
        </w:rPr>
        <w:t>then</w:t>
      </w:r>
      <w:r w:rsidRPr="00405707">
        <w:rPr>
          <w:rFonts w:ascii="Times New Roman" w:hAnsi="Times New Roman" w:cs="Times New Roman"/>
          <w:sz w:val="28"/>
          <w:szCs w:val="28"/>
        </w:rPr>
        <w:t xml:space="preserve"> felt sense of the situation, the affective atmosphere of the organism/environment-lifeworld field is the temporal predecessor or </w:t>
      </w:r>
      <w:r w:rsidRPr="00405707">
        <w:rPr>
          <w:rFonts w:ascii="Times New Roman" w:hAnsi="Times New Roman" w:cs="Times New Roman"/>
          <w:i/>
          <w:iCs/>
          <w:sz w:val="28"/>
          <w:szCs w:val="28"/>
        </w:rPr>
        <w:t>prius</w:t>
      </w:r>
      <w:r w:rsidRPr="00405707">
        <w:rPr>
          <w:rFonts w:ascii="Times New Roman" w:hAnsi="Times New Roman" w:cs="Times New Roman"/>
          <w:sz w:val="28"/>
          <w:szCs w:val="28"/>
        </w:rPr>
        <w:t xml:space="preserve"> of the therapy relationship. It comes </w:t>
      </w:r>
      <w:r w:rsidRPr="00405707">
        <w:rPr>
          <w:rFonts w:ascii="Times New Roman" w:hAnsi="Times New Roman" w:cs="Times New Roman"/>
          <w:i/>
          <w:iCs/>
          <w:sz w:val="28"/>
          <w:szCs w:val="28"/>
        </w:rPr>
        <w:t xml:space="preserve">upon </w:t>
      </w:r>
      <w:r w:rsidRPr="00405707">
        <w:rPr>
          <w:rFonts w:ascii="Times New Roman" w:hAnsi="Times New Roman" w:cs="Times New Roman"/>
          <w:sz w:val="28"/>
          <w:szCs w:val="28"/>
        </w:rPr>
        <w:t xml:space="preserve">the therapist and patient.  How often do we therapists experience ourselves seized by sadness or overtaken by anxiety even prior to those moods becoming clear to us and our patients? </w:t>
      </w:r>
      <w:r w:rsidRPr="00405707">
        <w:rPr>
          <w:rFonts w:ascii="Times New Roman" w:hAnsi="Times New Roman" w:cs="Times New Roman"/>
          <w:noProof/>
          <w:sz w:val="28"/>
          <w:szCs w:val="28"/>
        </w:rPr>
        <w:t>(Ratcliffe, 2015</w:t>
      </w:r>
      <w:proofErr w:type="gramStart"/>
      <w:r w:rsidRPr="00405707">
        <w:rPr>
          <w:rFonts w:ascii="Times New Roman" w:hAnsi="Times New Roman" w:cs="Times New Roman"/>
          <w:noProof/>
          <w:sz w:val="28"/>
          <w:szCs w:val="28"/>
        </w:rPr>
        <w:t>)</w:t>
      </w:r>
      <w:r w:rsidRPr="00405707">
        <w:rPr>
          <w:rFonts w:ascii="Times New Roman" w:hAnsi="Times New Roman" w:cs="Times New Roman"/>
          <w:sz w:val="28"/>
          <w:szCs w:val="28"/>
        </w:rPr>
        <w:t xml:space="preserve">  </w:t>
      </w:r>
      <w:r w:rsidRPr="00405707">
        <w:rPr>
          <w:rFonts w:ascii="Times New Roman" w:hAnsi="Times New Roman" w:cs="Times New Roman"/>
          <w:noProof/>
          <w:sz w:val="28"/>
          <w:szCs w:val="28"/>
        </w:rPr>
        <w:t>(</w:t>
      </w:r>
      <w:proofErr w:type="gramEnd"/>
      <w:r w:rsidRPr="00405707">
        <w:rPr>
          <w:rFonts w:ascii="Times New Roman" w:hAnsi="Times New Roman" w:cs="Times New Roman"/>
          <w:noProof/>
          <w:sz w:val="28"/>
          <w:szCs w:val="28"/>
        </w:rPr>
        <w:t>Spagnuolo Lobb, 2018)</w:t>
      </w:r>
      <w:r w:rsidRPr="00405707">
        <w:rPr>
          <w:rFonts w:ascii="Times New Roman" w:hAnsi="Times New Roman" w:cs="Times New Roman"/>
          <w:sz w:val="28"/>
          <w:szCs w:val="28"/>
        </w:rPr>
        <w:t xml:space="preserve"> This is a function of the pathic field, the field of undergoing the weight, pathos, or suffering of the other. (</w:t>
      </w:r>
      <w:r w:rsidRPr="00405707">
        <w:rPr>
          <w:rFonts w:ascii="Times New Roman" w:hAnsi="Times New Roman" w:cs="Times New Roman"/>
          <w:noProof/>
          <w:sz w:val="28"/>
          <w:szCs w:val="28"/>
        </w:rPr>
        <w:t xml:space="preserve">(Orange, 2011; Waldenfels, 2011; Francesetti, 2015a Francesetti, 2015b; </w:t>
      </w:r>
      <w:r w:rsidRPr="00405707">
        <w:rPr>
          <w:rFonts w:ascii="Times New Roman" w:hAnsi="Times New Roman" w:cs="Times New Roman"/>
          <w:sz w:val="28"/>
          <w:szCs w:val="28"/>
        </w:rPr>
        <w:t xml:space="preserve">(Bloom, 2018., pp. 119–128)).  </w:t>
      </w:r>
    </w:p>
    <w:p w14:paraId="0E6B8220" w14:textId="77777777" w:rsidR="00F16E6F" w:rsidRPr="00405707" w:rsidRDefault="00F16E6F" w:rsidP="00405707">
      <w:pPr>
        <w:spacing w:line="240" w:lineRule="auto"/>
        <w:ind w:firstLine="576"/>
        <w:rPr>
          <w:rFonts w:ascii="Times New Roman" w:hAnsi="Times New Roman" w:cs="Times New Roman"/>
          <w:sz w:val="28"/>
          <w:szCs w:val="28"/>
        </w:rPr>
      </w:pPr>
    </w:p>
    <w:p w14:paraId="4D6BCDEE" w14:textId="77777777" w:rsidR="00F16E6F" w:rsidRPr="00405707" w:rsidRDefault="00F16E6F" w:rsidP="00405707">
      <w:pPr>
        <w:spacing w:line="240" w:lineRule="auto"/>
        <w:ind w:left="720" w:firstLine="576"/>
        <w:rPr>
          <w:rFonts w:ascii="Times New Roman" w:hAnsi="Times New Roman" w:cs="Times New Roman"/>
          <w:sz w:val="28"/>
          <w:szCs w:val="28"/>
        </w:rPr>
      </w:pPr>
    </w:p>
    <w:p w14:paraId="3BC8082A" w14:textId="77777777" w:rsidR="00F16E6F" w:rsidRPr="00405707" w:rsidRDefault="00F16E6F" w:rsidP="00405707">
      <w:pPr>
        <w:spacing w:line="240" w:lineRule="auto"/>
        <w:ind w:left="1440" w:firstLine="720"/>
        <w:rPr>
          <w:rFonts w:ascii="Times New Roman" w:hAnsi="Times New Roman" w:cs="Times New Roman"/>
          <w:sz w:val="28"/>
          <w:szCs w:val="28"/>
        </w:rPr>
      </w:pPr>
      <w:r w:rsidRPr="00405707">
        <w:rPr>
          <w:rFonts w:ascii="Times New Roman" w:hAnsi="Times New Roman" w:cs="Times New Roman"/>
          <w:sz w:val="28"/>
          <w:szCs w:val="28"/>
        </w:rPr>
        <w:t xml:space="preserve">Something touches me; I feel it in the pit of my stomach. The way he walks and sits </w:t>
      </w:r>
      <w:proofErr w:type="gramStart"/>
      <w:r w:rsidRPr="00405707">
        <w:rPr>
          <w:rFonts w:ascii="Times New Roman" w:hAnsi="Times New Roman" w:cs="Times New Roman"/>
          <w:sz w:val="28"/>
          <w:szCs w:val="28"/>
        </w:rPr>
        <w:t>down?</w:t>
      </w:r>
      <w:proofErr w:type="gramEnd"/>
      <w:r w:rsidRPr="00405707">
        <w:rPr>
          <w:rFonts w:ascii="Times New Roman" w:hAnsi="Times New Roman" w:cs="Times New Roman"/>
          <w:sz w:val="28"/>
          <w:szCs w:val="28"/>
        </w:rPr>
        <w:t xml:space="preserve"> Maybe.  Then I hear his voice; its hollow tone touches me. Now his words are heavy and the sound like rocks falling on the ground. I imagine they were falling on me.</w:t>
      </w:r>
    </w:p>
    <w:p w14:paraId="03EE11E5" w14:textId="77777777" w:rsidR="00F16E6F" w:rsidRPr="00405707" w:rsidRDefault="00F16E6F" w:rsidP="00405707">
      <w:pPr>
        <w:spacing w:line="240" w:lineRule="auto"/>
        <w:ind w:left="1440"/>
        <w:rPr>
          <w:rFonts w:ascii="Times New Roman" w:hAnsi="Times New Roman" w:cs="Times New Roman"/>
          <w:sz w:val="28"/>
          <w:szCs w:val="28"/>
        </w:rPr>
      </w:pPr>
      <w:r w:rsidRPr="00405707">
        <w:rPr>
          <w:rFonts w:ascii="Times New Roman" w:hAnsi="Times New Roman" w:cs="Times New Roman"/>
          <w:sz w:val="28"/>
          <w:szCs w:val="28"/>
        </w:rPr>
        <w:tab/>
        <w:t>“Henry, I suddenly had trouble following what you were saying to me. I knew the meaning of your words, but I couldn’t connect them anymore. What is your sense of what is happening now?</w:t>
      </w:r>
    </w:p>
    <w:p w14:paraId="5F31417A" w14:textId="77777777" w:rsidR="00F16E6F" w:rsidRPr="00405707" w:rsidRDefault="00F16E6F" w:rsidP="00405707">
      <w:pPr>
        <w:spacing w:line="240" w:lineRule="auto"/>
        <w:ind w:left="1440" w:firstLine="720"/>
        <w:rPr>
          <w:rFonts w:ascii="Times New Roman" w:hAnsi="Times New Roman" w:cs="Times New Roman"/>
          <w:sz w:val="28"/>
          <w:szCs w:val="28"/>
        </w:rPr>
      </w:pPr>
      <w:r w:rsidRPr="00405707">
        <w:rPr>
          <w:rFonts w:ascii="Times New Roman" w:hAnsi="Times New Roman" w:cs="Times New Roman"/>
          <w:sz w:val="28"/>
          <w:szCs w:val="28"/>
        </w:rPr>
        <w:t>“Hmm. Let me see… (pause… he swallows hard…) It’s hard for me to swallow</w:t>
      </w:r>
      <w:proofErr w:type="gramStart"/>
      <w:r w:rsidRPr="00405707">
        <w:rPr>
          <w:rFonts w:ascii="Times New Roman" w:hAnsi="Times New Roman" w:cs="Times New Roman"/>
          <w:sz w:val="28"/>
          <w:szCs w:val="28"/>
        </w:rPr>
        <w:t>….(</w:t>
      </w:r>
      <w:proofErr w:type="gramEnd"/>
      <w:r w:rsidRPr="00405707">
        <w:rPr>
          <w:rFonts w:ascii="Times New Roman" w:hAnsi="Times New Roman" w:cs="Times New Roman"/>
          <w:sz w:val="28"/>
          <w:szCs w:val="28"/>
        </w:rPr>
        <w:t>He tries again and clears his throat.) …. A few moments…. Look, there’s something I don’t want to talk about.”</w:t>
      </w:r>
    </w:p>
    <w:p w14:paraId="7FA9C380" w14:textId="77777777" w:rsidR="00F16E6F" w:rsidRPr="00405707" w:rsidRDefault="00F16E6F" w:rsidP="00405707">
      <w:pPr>
        <w:spacing w:line="240" w:lineRule="auto"/>
        <w:ind w:left="1440" w:firstLine="720"/>
        <w:rPr>
          <w:rFonts w:ascii="Times New Roman" w:hAnsi="Times New Roman" w:cs="Times New Roman"/>
          <w:sz w:val="28"/>
          <w:szCs w:val="28"/>
        </w:rPr>
      </w:pPr>
      <w:r w:rsidRPr="00405707">
        <w:rPr>
          <w:rFonts w:ascii="Times New Roman" w:hAnsi="Times New Roman" w:cs="Times New Roman"/>
          <w:sz w:val="28"/>
          <w:szCs w:val="28"/>
        </w:rPr>
        <w:t xml:space="preserve">“Uh, huh.” I utter sounds rather than words. This is not deliberate. I extend my arms, palm sides up. </w:t>
      </w:r>
    </w:p>
    <w:p w14:paraId="2EBE1211" w14:textId="77777777" w:rsidR="00F16E6F" w:rsidRPr="00405707" w:rsidRDefault="00F16E6F" w:rsidP="00405707">
      <w:pPr>
        <w:spacing w:line="240" w:lineRule="auto"/>
        <w:ind w:left="1440" w:firstLine="720"/>
        <w:rPr>
          <w:rFonts w:ascii="Times New Roman" w:hAnsi="Times New Roman" w:cs="Times New Roman"/>
          <w:sz w:val="28"/>
          <w:szCs w:val="28"/>
        </w:rPr>
      </w:pPr>
      <w:r w:rsidRPr="00405707">
        <w:rPr>
          <w:rFonts w:ascii="Times New Roman" w:hAnsi="Times New Roman" w:cs="Times New Roman"/>
          <w:sz w:val="28"/>
          <w:szCs w:val="28"/>
        </w:rPr>
        <w:t>“Hmm.” He looks right at me and meet my eyes. “You seem as if you are interested.” His voice inflected upward in a quasi-question</w:t>
      </w:r>
      <w:r w:rsidRPr="00405707">
        <w:rPr>
          <w:rFonts w:ascii="Times New Roman" w:hAnsi="Times New Roman" w:cs="Times New Roman"/>
          <w:sz w:val="28"/>
          <w:szCs w:val="28"/>
        </w:rPr>
        <w:tab/>
      </w:r>
    </w:p>
    <w:p w14:paraId="4CC7E6B9" w14:textId="77777777" w:rsidR="00F16E6F" w:rsidRPr="00405707" w:rsidRDefault="00F16E6F" w:rsidP="00405707">
      <w:pPr>
        <w:spacing w:line="240" w:lineRule="auto"/>
        <w:ind w:left="864" w:firstLine="576"/>
        <w:rPr>
          <w:rFonts w:ascii="Times New Roman" w:hAnsi="Times New Roman" w:cs="Times New Roman"/>
          <w:sz w:val="28"/>
          <w:szCs w:val="28"/>
        </w:rPr>
      </w:pPr>
      <w:r w:rsidRPr="00405707">
        <w:rPr>
          <w:rFonts w:ascii="Times New Roman" w:hAnsi="Times New Roman" w:cs="Times New Roman"/>
          <w:sz w:val="28"/>
          <w:szCs w:val="28"/>
        </w:rPr>
        <w:t>I smile “yes.”</w:t>
      </w:r>
    </w:p>
    <w:p w14:paraId="2BEB2B2A" w14:textId="77777777" w:rsidR="00F16E6F" w:rsidRPr="00405707" w:rsidRDefault="00F16E6F" w:rsidP="00405707">
      <w:pPr>
        <w:spacing w:line="240" w:lineRule="auto"/>
        <w:ind w:firstLine="720"/>
        <w:rPr>
          <w:rFonts w:ascii="Times New Roman" w:hAnsi="Times New Roman" w:cs="Times New Roman"/>
          <w:sz w:val="28"/>
          <w:szCs w:val="28"/>
        </w:rPr>
      </w:pPr>
      <w:r w:rsidRPr="00405707">
        <w:rPr>
          <w:rFonts w:ascii="Times New Roman" w:hAnsi="Times New Roman" w:cs="Times New Roman"/>
          <w:sz w:val="28"/>
          <w:szCs w:val="28"/>
        </w:rPr>
        <w:t xml:space="preserve">The air has cleared. His voice is now full and resonant.  </w:t>
      </w:r>
    </w:p>
    <w:p w14:paraId="77E3A992" w14:textId="77777777" w:rsidR="00F16E6F" w:rsidRPr="00405707" w:rsidRDefault="00F16E6F" w:rsidP="00405707">
      <w:pPr>
        <w:spacing w:line="240" w:lineRule="auto"/>
        <w:rPr>
          <w:rFonts w:ascii="Times New Roman" w:hAnsi="Times New Roman" w:cs="Times New Roman"/>
          <w:sz w:val="28"/>
          <w:szCs w:val="28"/>
        </w:rPr>
      </w:pPr>
    </w:p>
    <w:p w14:paraId="73ED3288" w14:textId="77777777" w:rsidR="00F16E6F" w:rsidRPr="00405707" w:rsidRDefault="00F16E6F" w:rsidP="00405707">
      <w:pPr>
        <w:spacing w:line="240" w:lineRule="auto"/>
        <w:ind w:firstLine="720"/>
        <w:rPr>
          <w:rFonts w:ascii="Times New Roman" w:hAnsi="Times New Roman" w:cs="Times New Roman"/>
          <w:sz w:val="28"/>
          <w:szCs w:val="28"/>
        </w:rPr>
      </w:pPr>
      <w:r w:rsidRPr="00405707">
        <w:rPr>
          <w:rFonts w:ascii="Times New Roman" w:hAnsi="Times New Roman" w:cs="Times New Roman"/>
          <w:sz w:val="28"/>
          <w:szCs w:val="28"/>
        </w:rPr>
        <w:lastRenderedPageBreak/>
        <w:t xml:space="preserve">“There is no pathos, be it joy, love, pain or jealousy without provoking a certain response and there is no response without a certain pathos to which it points back.” </w:t>
      </w:r>
      <w:r w:rsidRPr="00405707">
        <w:rPr>
          <w:rFonts w:ascii="Times New Roman" w:hAnsi="Times New Roman" w:cs="Times New Roman"/>
          <w:noProof/>
          <w:sz w:val="28"/>
          <w:szCs w:val="28"/>
        </w:rPr>
        <w:t>(Waldenfels, 2016 p 22)</w:t>
      </w:r>
      <w:r w:rsidRPr="00405707">
        <w:rPr>
          <w:rFonts w:ascii="Times New Roman" w:hAnsi="Times New Roman" w:cs="Times New Roman"/>
          <w:sz w:val="28"/>
          <w:szCs w:val="28"/>
        </w:rPr>
        <w:t xml:space="preserve"> The rhythm of my and Henry’s interaction in the ebb and flow of the responsive field reflects the emergence of responsive intentionality. Responsive intentionality is the movement the relational field –of responsivity to the scents and senses of the atmospheres of the lifeworld. Responsivity and response are the aesthetic movements of responsive intentionality, where aesthetic is the sensed and felt experience of the emerging relational </w:t>
      </w:r>
      <w:proofErr w:type="gramStart"/>
      <w:r w:rsidRPr="00405707">
        <w:rPr>
          <w:rFonts w:ascii="Times New Roman" w:hAnsi="Times New Roman" w:cs="Times New Roman"/>
          <w:sz w:val="28"/>
          <w:szCs w:val="28"/>
        </w:rPr>
        <w:t>figure.</w:t>
      </w:r>
      <w:r w:rsidRPr="00405707">
        <w:rPr>
          <w:rFonts w:ascii="Times New Roman" w:hAnsi="Times New Roman" w:cs="Times New Roman"/>
          <w:noProof/>
          <w:sz w:val="28"/>
          <w:szCs w:val="28"/>
        </w:rPr>
        <w:t>(</w:t>
      </w:r>
      <w:proofErr w:type="gramEnd"/>
      <w:r w:rsidRPr="00405707">
        <w:rPr>
          <w:rFonts w:ascii="Times New Roman" w:hAnsi="Times New Roman" w:cs="Times New Roman"/>
          <w:noProof/>
          <w:sz w:val="28"/>
          <w:szCs w:val="28"/>
        </w:rPr>
        <w:t>Spagnuolo Lobb, 2014)</w:t>
      </w:r>
      <w:r w:rsidRPr="00405707">
        <w:rPr>
          <w:rFonts w:ascii="Times New Roman" w:hAnsi="Times New Roman" w:cs="Times New Roman"/>
          <w:sz w:val="28"/>
          <w:szCs w:val="28"/>
        </w:rPr>
        <w:t xml:space="preserve"> </w:t>
      </w:r>
      <w:r w:rsidRPr="00405707">
        <w:rPr>
          <w:rFonts w:ascii="Times New Roman" w:hAnsi="Times New Roman" w:cs="Times New Roman"/>
          <w:noProof/>
          <w:sz w:val="28"/>
          <w:szCs w:val="28"/>
        </w:rPr>
        <w:t>((Bloom, 2019)(Margherita Spagnuolo Lobb, PhD, 2018)</w:t>
      </w:r>
    </w:p>
    <w:p w14:paraId="6DB88C35" w14:textId="77777777" w:rsidR="00F16E6F" w:rsidRPr="00405707" w:rsidRDefault="00F16E6F" w:rsidP="00405707">
      <w:pPr>
        <w:spacing w:line="240" w:lineRule="auto"/>
        <w:rPr>
          <w:rFonts w:ascii="Times New Roman" w:hAnsi="Times New Roman" w:cs="Times New Roman"/>
          <w:sz w:val="28"/>
          <w:szCs w:val="28"/>
        </w:rPr>
      </w:pPr>
      <w:r w:rsidRPr="00405707">
        <w:rPr>
          <w:rFonts w:ascii="Times New Roman" w:hAnsi="Times New Roman" w:cs="Times New Roman"/>
          <w:sz w:val="28"/>
          <w:szCs w:val="28"/>
        </w:rPr>
        <w:tab/>
      </w:r>
    </w:p>
    <w:p w14:paraId="5BE7B062" w14:textId="77777777" w:rsidR="00F16E6F" w:rsidRPr="00405707" w:rsidRDefault="00F16E6F" w:rsidP="00405707">
      <w:pPr>
        <w:spacing w:line="240" w:lineRule="auto"/>
        <w:rPr>
          <w:rFonts w:ascii="Times New Roman" w:hAnsi="Times New Roman" w:cs="Times New Roman"/>
          <w:sz w:val="28"/>
          <w:szCs w:val="28"/>
        </w:rPr>
      </w:pPr>
    </w:p>
    <w:p w14:paraId="6266856D" w14:textId="77777777" w:rsidR="00F16E6F" w:rsidRPr="00405707" w:rsidRDefault="00F16E6F" w:rsidP="00405707">
      <w:pPr>
        <w:spacing w:line="240" w:lineRule="auto"/>
        <w:rPr>
          <w:rFonts w:ascii="Times New Roman" w:hAnsi="Times New Roman" w:cs="Times New Roman"/>
          <w:sz w:val="28"/>
          <w:szCs w:val="28"/>
        </w:rPr>
      </w:pPr>
      <w:r w:rsidRPr="00405707">
        <w:rPr>
          <w:rFonts w:ascii="Times New Roman" w:hAnsi="Times New Roman" w:cs="Times New Roman"/>
          <w:sz w:val="28"/>
          <w:szCs w:val="28"/>
        </w:rPr>
        <w:t xml:space="preserve">Too </w:t>
      </w:r>
      <w:proofErr w:type="gramStart"/>
      <w:r w:rsidRPr="00405707">
        <w:rPr>
          <w:rFonts w:ascii="Times New Roman" w:hAnsi="Times New Roman" w:cs="Times New Roman"/>
          <w:sz w:val="28"/>
          <w:szCs w:val="28"/>
        </w:rPr>
        <w:t>soon;</w:t>
      </w:r>
      <w:proofErr w:type="gramEnd"/>
      <w:r w:rsidRPr="00405707">
        <w:rPr>
          <w:rFonts w:ascii="Times New Roman" w:hAnsi="Times New Roman" w:cs="Times New Roman"/>
          <w:sz w:val="28"/>
          <w:szCs w:val="28"/>
        </w:rPr>
        <w:t xml:space="preserve"> too late…</w:t>
      </w:r>
    </w:p>
    <w:p w14:paraId="1219A109" w14:textId="77777777" w:rsidR="00F16E6F" w:rsidRPr="00405707" w:rsidRDefault="00F16E6F" w:rsidP="00405707">
      <w:pPr>
        <w:spacing w:line="240" w:lineRule="auto"/>
        <w:ind w:firstLine="576"/>
        <w:rPr>
          <w:rFonts w:ascii="Times New Roman" w:hAnsi="Times New Roman" w:cs="Times New Roman"/>
          <w:sz w:val="28"/>
          <w:szCs w:val="28"/>
        </w:rPr>
      </w:pPr>
      <w:r w:rsidRPr="00405707">
        <w:rPr>
          <w:rFonts w:ascii="Times New Roman" w:hAnsi="Times New Roman" w:cs="Times New Roman"/>
          <w:sz w:val="28"/>
          <w:szCs w:val="28"/>
        </w:rPr>
        <w:t xml:space="preserve">Whenever something extraordinary happens … and affects us, it always comes </w:t>
      </w:r>
      <w:r w:rsidRPr="00405707">
        <w:rPr>
          <w:rFonts w:ascii="Times New Roman" w:hAnsi="Times New Roman" w:cs="Times New Roman"/>
          <w:i/>
          <w:iCs/>
          <w:sz w:val="28"/>
          <w:szCs w:val="28"/>
        </w:rPr>
        <w:t xml:space="preserve">too early… </w:t>
      </w:r>
      <w:r w:rsidRPr="00405707">
        <w:rPr>
          <w:rFonts w:ascii="Times New Roman" w:hAnsi="Times New Roman" w:cs="Times New Roman"/>
          <w:sz w:val="28"/>
          <w:szCs w:val="28"/>
        </w:rPr>
        <w:t xml:space="preserve">Vice versa, our response comes always </w:t>
      </w:r>
      <w:r w:rsidRPr="00405707">
        <w:rPr>
          <w:rFonts w:ascii="Times New Roman" w:hAnsi="Times New Roman" w:cs="Times New Roman"/>
          <w:i/>
          <w:iCs/>
          <w:sz w:val="28"/>
          <w:szCs w:val="28"/>
        </w:rPr>
        <w:t>too late</w:t>
      </w:r>
      <w:r w:rsidRPr="00405707">
        <w:rPr>
          <w:rFonts w:ascii="Times New Roman" w:hAnsi="Times New Roman" w:cs="Times New Roman"/>
          <w:sz w:val="28"/>
          <w:szCs w:val="28"/>
        </w:rPr>
        <w:t xml:space="preserve">, …. </w:t>
      </w:r>
      <w:r w:rsidRPr="00405707">
        <w:rPr>
          <w:rFonts w:ascii="Times New Roman" w:hAnsi="Times New Roman" w:cs="Times New Roman"/>
          <w:noProof/>
          <w:sz w:val="28"/>
          <w:szCs w:val="28"/>
        </w:rPr>
        <w:t>(Waldenfels, 2016,</w:t>
      </w:r>
      <w:r w:rsidRPr="00405707">
        <w:rPr>
          <w:rFonts w:ascii="Times New Roman" w:hAnsi="Times New Roman" w:cs="Times New Roman"/>
          <w:sz w:val="28"/>
          <w:szCs w:val="28"/>
        </w:rPr>
        <w:t xml:space="preserve"> p. 22)</w:t>
      </w:r>
    </w:p>
    <w:p w14:paraId="7C438219" w14:textId="77777777" w:rsidR="00F16E6F" w:rsidRPr="00405707" w:rsidRDefault="00F16E6F" w:rsidP="00405707">
      <w:pPr>
        <w:spacing w:line="240" w:lineRule="auto"/>
        <w:ind w:firstLine="720"/>
        <w:rPr>
          <w:rFonts w:ascii="Times New Roman" w:hAnsi="Times New Roman" w:cs="Times New Roman"/>
          <w:sz w:val="28"/>
          <w:szCs w:val="28"/>
        </w:rPr>
      </w:pPr>
    </w:p>
    <w:p w14:paraId="44E30340" w14:textId="77777777" w:rsidR="00F16E6F" w:rsidRPr="00405707" w:rsidRDefault="00F16E6F" w:rsidP="00405707">
      <w:pPr>
        <w:spacing w:line="240" w:lineRule="auto"/>
        <w:jc w:val="both"/>
        <w:rPr>
          <w:rFonts w:ascii="Times New Roman" w:hAnsi="Times New Roman" w:cs="Times New Roman"/>
          <w:sz w:val="28"/>
          <w:szCs w:val="28"/>
        </w:rPr>
      </w:pPr>
    </w:p>
    <w:p w14:paraId="540085FD" w14:textId="77777777" w:rsidR="00F16E6F" w:rsidRPr="00405707" w:rsidRDefault="00F16E6F" w:rsidP="00405707">
      <w:pPr>
        <w:spacing w:line="240" w:lineRule="auto"/>
        <w:ind w:firstLine="720"/>
        <w:jc w:val="both"/>
        <w:rPr>
          <w:rFonts w:ascii="Times New Roman" w:hAnsi="Times New Roman" w:cs="Times New Roman"/>
          <w:sz w:val="28"/>
          <w:szCs w:val="28"/>
        </w:rPr>
      </w:pPr>
      <w:r w:rsidRPr="00405707">
        <w:rPr>
          <w:rFonts w:ascii="Times New Roman" w:hAnsi="Times New Roman" w:cs="Times New Roman"/>
          <w:sz w:val="28"/>
          <w:szCs w:val="28"/>
        </w:rPr>
        <w:t>A skilled dancing partner floats in the dance</w:t>
      </w:r>
      <w:r w:rsidRPr="00405707">
        <w:rPr>
          <w:rStyle w:val="FootnoteReference"/>
          <w:rFonts w:ascii="Times New Roman" w:hAnsi="Times New Roman" w:cs="Times New Roman"/>
          <w:sz w:val="28"/>
          <w:szCs w:val="28"/>
        </w:rPr>
        <w:footnoteReference w:id="7"/>
      </w:r>
      <w:r w:rsidRPr="00405707">
        <w:rPr>
          <w:rFonts w:ascii="Times New Roman" w:hAnsi="Times New Roman" w:cs="Times New Roman"/>
          <w:sz w:val="28"/>
          <w:szCs w:val="28"/>
        </w:rPr>
        <w:t xml:space="preserve">, one step behind and one step ahead of the person with whom she is dancing.  This dance to the relational music, however, has </w:t>
      </w:r>
      <w:proofErr w:type="gramStart"/>
      <w:r w:rsidRPr="00405707">
        <w:rPr>
          <w:rFonts w:ascii="Times New Roman" w:hAnsi="Times New Roman" w:cs="Times New Roman"/>
          <w:sz w:val="28"/>
          <w:szCs w:val="28"/>
        </w:rPr>
        <w:t>particular balance</w:t>
      </w:r>
      <w:proofErr w:type="gramEnd"/>
      <w:r w:rsidRPr="00405707">
        <w:rPr>
          <w:rFonts w:ascii="Times New Roman" w:hAnsi="Times New Roman" w:cs="Times New Roman"/>
          <w:sz w:val="28"/>
          <w:szCs w:val="28"/>
        </w:rPr>
        <w:t xml:space="preserve"> between the partners. We are never quite in synch with our patients just as no two persons can ever be. The temporal sequence of contacting contextualizes a too soon and too late, which shapes responsive intentionality of contacting of the psychotherapeutic field. Our sense of the emerging figure affects us almost an instant prior to our patient’s awareness. </w:t>
      </w:r>
    </w:p>
    <w:p w14:paraId="33212FA6" w14:textId="77777777" w:rsidR="00F16E6F" w:rsidRPr="00405707" w:rsidRDefault="00F16E6F" w:rsidP="00405707">
      <w:pPr>
        <w:spacing w:line="240" w:lineRule="auto"/>
        <w:ind w:firstLine="720"/>
        <w:rPr>
          <w:rFonts w:ascii="Times New Roman" w:hAnsi="Times New Roman" w:cs="Times New Roman"/>
          <w:sz w:val="28"/>
          <w:szCs w:val="28"/>
        </w:rPr>
      </w:pPr>
      <w:r w:rsidRPr="00405707">
        <w:rPr>
          <w:rFonts w:ascii="Times New Roman" w:hAnsi="Times New Roman" w:cs="Times New Roman"/>
          <w:sz w:val="28"/>
          <w:szCs w:val="28"/>
        </w:rPr>
        <w:t>That is, we are responsive with awareness of the aesthetic of the field. We are affected by the immediacy of the felt sense of the situation that is prior to our knowing clinical response. We knowingly respond to a developing figure of contacting with our clinical practical- wisdom,</w:t>
      </w:r>
      <w:r w:rsidRPr="00405707">
        <w:rPr>
          <w:rFonts w:ascii="Times New Roman" w:hAnsi="Times New Roman" w:cs="Times New Roman"/>
          <w:i/>
          <w:iCs/>
          <w:sz w:val="28"/>
          <w:szCs w:val="28"/>
        </w:rPr>
        <w:t xml:space="preserve"> phronesis</w:t>
      </w:r>
      <w:r w:rsidRPr="00405707">
        <w:rPr>
          <w:rFonts w:ascii="Times New Roman" w:hAnsi="Times New Roman" w:cs="Times New Roman"/>
          <w:sz w:val="28"/>
          <w:szCs w:val="28"/>
        </w:rPr>
        <w:t xml:space="preserve">. </w:t>
      </w:r>
    </w:p>
    <w:p w14:paraId="1B2DCCFF" w14:textId="77777777" w:rsidR="00F16E6F" w:rsidRPr="00405707" w:rsidRDefault="00F16E6F" w:rsidP="00405707">
      <w:pPr>
        <w:spacing w:line="240" w:lineRule="auto"/>
        <w:ind w:firstLine="576"/>
        <w:rPr>
          <w:rFonts w:ascii="Times New Roman" w:hAnsi="Times New Roman" w:cs="Times New Roman"/>
          <w:sz w:val="28"/>
          <w:szCs w:val="28"/>
        </w:rPr>
      </w:pPr>
      <w:r w:rsidRPr="00405707">
        <w:rPr>
          <w:rFonts w:ascii="Times New Roman" w:hAnsi="Times New Roman" w:cs="Times New Roman"/>
          <w:sz w:val="28"/>
          <w:szCs w:val="28"/>
        </w:rPr>
        <w:t xml:space="preserve">The emerging figure of contacting begins as its </w:t>
      </w:r>
      <w:r w:rsidRPr="00405707">
        <w:rPr>
          <w:rFonts w:ascii="Times New Roman" w:hAnsi="Times New Roman" w:cs="Times New Roman"/>
          <w:i/>
          <w:iCs/>
          <w:sz w:val="28"/>
          <w:szCs w:val="28"/>
        </w:rPr>
        <w:t>prius</w:t>
      </w:r>
      <w:r w:rsidRPr="00405707">
        <w:rPr>
          <w:rFonts w:ascii="Times New Roman" w:hAnsi="Times New Roman" w:cs="Times New Roman"/>
          <w:sz w:val="28"/>
          <w:szCs w:val="28"/>
        </w:rPr>
        <w:t xml:space="preserve">, a pre-given prior to the id of the situation </w:t>
      </w:r>
      <w:r w:rsidRPr="00405707">
        <w:rPr>
          <w:rFonts w:ascii="Times New Roman" w:hAnsi="Times New Roman" w:cs="Times New Roman"/>
          <w:noProof/>
          <w:sz w:val="28"/>
          <w:szCs w:val="28"/>
        </w:rPr>
        <w:t>(Robine, 2011, p.215; Robine, 2015)</w:t>
      </w:r>
      <w:r w:rsidRPr="00405707">
        <w:rPr>
          <w:rFonts w:ascii="Times New Roman" w:hAnsi="Times New Roman" w:cs="Times New Roman"/>
          <w:sz w:val="28"/>
          <w:szCs w:val="28"/>
        </w:rPr>
        <w:t xml:space="preserve"> a still hidden day in the atmosphere of the night just before the edge of dawn. We are a moment too soon when our responsivity joins the </w:t>
      </w:r>
      <w:r w:rsidRPr="00405707">
        <w:rPr>
          <w:rFonts w:ascii="Times New Roman" w:hAnsi="Times New Roman" w:cs="Times New Roman"/>
          <w:i/>
          <w:iCs/>
          <w:sz w:val="28"/>
          <w:szCs w:val="28"/>
        </w:rPr>
        <w:t>prius</w:t>
      </w:r>
      <w:r w:rsidRPr="00405707">
        <w:rPr>
          <w:rFonts w:ascii="Times New Roman" w:hAnsi="Times New Roman" w:cs="Times New Roman"/>
          <w:sz w:val="28"/>
          <w:szCs w:val="28"/>
        </w:rPr>
        <w:t xml:space="preserve"> of the emerging figure of awareness; I sense without knowing; I initiate a gesture without deliberating. I am too late when I </w:t>
      </w:r>
      <w:r w:rsidRPr="00405707">
        <w:rPr>
          <w:rFonts w:ascii="Times New Roman" w:hAnsi="Times New Roman" w:cs="Times New Roman"/>
          <w:sz w:val="28"/>
          <w:szCs w:val="28"/>
        </w:rPr>
        <w:lastRenderedPageBreak/>
        <w:t xml:space="preserve">choose to reply to what has now passed and, by this fulfilled relational exchange, we are moving along with a new figure.  </w:t>
      </w:r>
    </w:p>
    <w:p w14:paraId="471E165F" w14:textId="77777777" w:rsidR="00F16E6F" w:rsidRPr="00405707" w:rsidRDefault="00F16E6F" w:rsidP="00405707">
      <w:pPr>
        <w:spacing w:line="240" w:lineRule="auto"/>
        <w:ind w:firstLine="576"/>
        <w:rPr>
          <w:rFonts w:ascii="Times New Roman" w:hAnsi="Times New Roman" w:cs="Times New Roman"/>
          <w:sz w:val="28"/>
          <w:szCs w:val="28"/>
        </w:rPr>
      </w:pPr>
      <w:r w:rsidRPr="00405707">
        <w:rPr>
          <w:rFonts w:ascii="Times New Roman" w:hAnsi="Times New Roman" w:cs="Times New Roman"/>
          <w:sz w:val="28"/>
          <w:szCs w:val="28"/>
        </w:rPr>
        <w:t xml:space="preserve">In terms of the structure of the contact-boundary, then, the time-lag in responsive intentionality establishes an asynchronous relationship, in terms of time, and an asymmetrical relationship, in terms of space. Instead of the mutuality of traditional dialogue, Waldenfels focuses on the asymmetry and asynchrony of </w:t>
      </w:r>
      <w:r w:rsidRPr="00405707">
        <w:rPr>
          <w:rFonts w:ascii="Times New Roman" w:hAnsi="Times New Roman" w:cs="Times New Roman"/>
          <w:i/>
          <w:iCs/>
          <w:sz w:val="28"/>
          <w:szCs w:val="28"/>
        </w:rPr>
        <w:t>quas</w:t>
      </w:r>
      <w:r w:rsidRPr="00405707">
        <w:rPr>
          <w:rFonts w:ascii="Times New Roman" w:hAnsi="Times New Roman" w:cs="Times New Roman"/>
          <w:sz w:val="28"/>
          <w:szCs w:val="28"/>
        </w:rPr>
        <w:t xml:space="preserve">i-dialogue. </w:t>
      </w:r>
    </w:p>
    <w:p w14:paraId="684D1C24" w14:textId="77777777" w:rsidR="00F16E6F" w:rsidRPr="00405707" w:rsidRDefault="00F16E6F" w:rsidP="00405707">
      <w:pPr>
        <w:spacing w:line="240" w:lineRule="auto"/>
        <w:rPr>
          <w:rFonts w:ascii="Times New Roman" w:hAnsi="Times New Roman" w:cs="Times New Roman"/>
          <w:sz w:val="28"/>
          <w:szCs w:val="28"/>
        </w:rPr>
      </w:pPr>
    </w:p>
    <w:p w14:paraId="713D84EA" w14:textId="77777777" w:rsidR="00F16E6F" w:rsidRPr="00405707" w:rsidRDefault="00F16E6F" w:rsidP="00405707">
      <w:pPr>
        <w:spacing w:line="240" w:lineRule="auto"/>
        <w:ind w:left="720"/>
        <w:rPr>
          <w:rFonts w:ascii="Times New Roman" w:hAnsi="Times New Roman" w:cs="Times New Roman"/>
          <w:sz w:val="28"/>
          <w:szCs w:val="28"/>
        </w:rPr>
      </w:pPr>
      <w:r w:rsidRPr="00405707">
        <w:rPr>
          <w:rFonts w:ascii="Times New Roman" w:hAnsi="Times New Roman" w:cs="Times New Roman"/>
          <w:sz w:val="28"/>
          <w:szCs w:val="28"/>
        </w:rPr>
        <w:tab/>
      </w:r>
      <w:r w:rsidRPr="00405707">
        <w:rPr>
          <w:rFonts w:ascii="Times New Roman" w:hAnsi="Times New Roman" w:cs="Times New Roman"/>
          <w:sz w:val="28"/>
          <w:szCs w:val="28"/>
        </w:rPr>
        <w:tab/>
        <w:t xml:space="preserve">Going hand in hand with the temporal deferment of demand and response [intrinsic in responsive intentionality] is an unavoidable asymmetry that </w:t>
      </w:r>
      <w:r w:rsidRPr="00405707">
        <w:rPr>
          <w:rFonts w:ascii="Times New Roman" w:hAnsi="Times New Roman" w:cs="Times New Roman"/>
          <w:i/>
          <w:iCs/>
          <w:sz w:val="28"/>
          <w:szCs w:val="28"/>
        </w:rPr>
        <w:t>throws out of balance the traditional dialogue</w:t>
      </w:r>
      <w:r w:rsidRPr="00405707">
        <w:rPr>
          <w:rFonts w:ascii="Times New Roman" w:hAnsi="Times New Roman" w:cs="Times New Roman"/>
          <w:sz w:val="28"/>
          <w:szCs w:val="28"/>
        </w:rPr>
        <w:t xml:space="preserve">… As Levinas shows, this asymmetry does not depend upon the fact that in an </w:t>
      </w:r>
      <w:proofErr w:type="gramStart"/>
      <w:r w:rsidRPr="00405707">
        <w:rPr>
          <w:rFonts w:ascii="Times New Roman" w:hAnsi="Times New Roman" w:cs="Times New Roman"/>
          <w:sz w:val="28"/>
          <w:szCs w:val="28"/>
        </w:rPr>
        <w:t>ongoing dialogue rules</w:t>
      </w:r>
      <w:proofErr w:type="gramEnd"/>
      <w:r w:rsidRPr="00405707">
        <w:rPr>
          <w:rFonts w:ascii="Times New Roman" w:hAnsi="Times New Roman" w:cs="Times New Roman"/>
          <w:sz w:val="28"/>
          <w:szCs w:val="28"/>
        </w:rPr>
        <w:t xml:space="preserve"> are distributed unequally, rather asymmetry depends upon the facts that </w:t>
      </w:r>
      <w:r w:rsidRPr="00405707">
        <w:rPr>
          <w:rFonts w:ascii="Times New Roman" w:hAnsi="Times New Roman" w:cs="Times New Roman"/>
          <w:i/>
          <w:iCs/>
          <w:sz w:val="28"/>
          <w:szCs w:val="28"/>
        </w:rPr>
        <w:t>demand and response do not converge</w:t>
      </w:r>
      <w:r w:rsidRPr="00405707">
        <w:rPr>
          <w:rFonts w:ascii="Times New Roman" w:hAnsi="Times New Roman" w:cs="Times New Roman"/>
          <w:sz w:val="28"/>
          <w:szCs w:val="28"/>
        </w:rPr>
        <w:t>. (</w:t>
      </w:r>
      <w:proofErr w:type="gramStart"/>
      <w:r w:rsidRPr="00405707">
        <w:rPr>
          <w:rFonts w:ascii="Times New Roman" w:hAnsi="Times New Roman" w:cs="Times New Roman"/>
          <w:i/>
          <w:iCs/>
          <w:sz w:val="28"/>
          <w:szCs w:val="28"/>
        </w:rPr>
        <w:t>emphasis</w:t>
      </w:r>
      <w:proofErr w:type="gramEnd"/>
      <w:r w:rsidRPr="00405707">
        <w:rPr>
          <w:rFonts w:ascii="Times New Roman" w:hAnsi="Times New Roman" w:cs="Times New Roman"/>
          <w:i/>
          <w:iCs/>
          <w:sz w:val="28"/>
          <w:szCs w:val="28"/>
        </w:rPr>
        <w:t xml:space="preserve"> added)</w:t>
      </w:r>
      <w:r w:rsidRPr="00405707">
        <w:rPr>
          <w:rFonts w:ascii="Times New Roman" w:hAnsi="Times New Roman" w:cs="Times New Roman"/>
          <w:sz w:val="28"/>
          <w:szCs w:val="28"/>
        </w:rPr>
        <w:t xml:space="preserve"> p. 34 </w:t>
      </w:r>
      <w:r w:rsidRPr="00405707">
        <w:rPr>
          <w:rFonts w:ascii="Times New Roman" w:hAnsi="Times New Roman" w:cs="Times New Roman"/>
          <w:noProof/>
          <w:sz w:val="28"/>
          <w:szCs w:val="28"/>
        </w:rPr>
        <w:t>(Waldenfels, 2003. P. 34</w:t>
      </w:r>
    </w:p>
    <w:p w14:paraId="6020FE2A" w14:textId="77777777" w:rsidR="00F16E6F" w:rsidRPr="00405707" w:rsidRDefault="00F16E6F" w:rsidP="00405707">
      <w:pPr>
        <w:spacing w:line="240" w:lineRule="auto"/>
        <w:ind w:left="720"/>
        <w:rPr>
          <w:rFonts w:ascii="Times New Roman" w:hAnsi="Times New Roman" w:cs="Times New Roman"/>
          <w:sz w:val="28"/>
          <w:szCs w:val="28"/>
        </w:rPr>
      </w:pPr>
    </w:p>
    <w:p w14:paraId="6CC38685" w14:textId="77777777" w:rsidR="00F16E6F" w:rsidRPr="00405707" w:rsidRDefault="00F16E6F" w:rsidP="00405707">
      <w:pPr>
        <w:spacing w:line="240" w:lineRule="auto"/>
        <w:ind w:firstLine="576"/>
        <w:rPr>
          <w:rFonts w:ascii="Times New Roman" w:hAnsi="Times New Roman" w:cs="Times New Roman"/>
          <w:sz w:val="28"/>
          <w:szCs w:val="28"/>
        </w:rPr>
      </w:pPr>
      <w:r w:rsidRPr="00405707">
        <w:rPr>
          <w:rFonts w:ascii="Times New Roman" w:hAnsi="Times New Roman" w:cs="Times New Roman"/>
          <w:sz w:val="28"/>
          <w:szCs w:val="28"/>
        </w:rPr>
        <w:t xml:space="preserve">“Too soon” and “too late” are not evaluations of clinical failures. They are, rather, descriptions of undisturbed responsive intentionality.  “Too soon” and “too late” support the emerging figure. They welcome, support and go along with the emerging figure.  There is never an “on” or “in” time. We are always chasing the comet’s tale of experience.  When we think we caught that comet, we’ve fallen into the fallacy that we’ve finally understood something. This is the trap of certainty. </w:t>
      </w:r>
      <w:r w:rsidRPr="00405707">
        <w:rPr>
          <w:rFonts w:ascii="Times New Roman" w:hAnsi="Times New Roman" w:cs="Times New Roman"/>
          <w:noProof/>
          <w:sz w:val="28"/>
          <w:szCs w:val="28"/>
        </w:rPr>
        <w:t>(Staemmler, 2000)</w:t>
      </w:r>
      <w:r w:rsidRPr="00405707">
        <w:rPr>
          <w:rFonts w:ascii="Times New Roman" w:hAnsi="Times New Roman" w:cs="Times New Roman"/>
          <w:sz w:val="28"/>
          <w:szCs w:val="28"/>
        </w:rPr>
        <w:t xml:space="preserve"> Rather, we’ve trapped and stilled the flow of responsive intentionalities and the aesthetic of relational contacting.)  “I heard you saying….” Or “I understand…” freeze a dance. Responsive intentionality of contacting is a gesture of welcoming and including, supporting and inviting, beckoning and wondering.  </w:t>
      </w:r>
    </w:p>
    <w:p w14:paraId="240C806C" w14:textId="77777777" w:rsidR="00F16E6F" w:rsidRPr="00405707" w:rsidRDefault="00F16E6F" w:rsidP="00405707">
      <w:pPr>
        <w:spacing w:line="240" w:lineRule="auto"/>
        <w:rPr>
          <w:rFonts w:ascii="Times New Roman" w:hAnsi="Times New Roman" w:cs="Times New Roman"/>
          <w:sz w:val="28"/>
          <w:szCs w:val="28"/>
        </w:rPr>
      </w:pPr>
    </w:p>
    <w:p w14:paraId="0EA77C7D" w14:textId="77777777" w:rsidR="00F16E6F" w:rsidRPr="00405707" w:rsidRDefault="00F16E6F" w:rsidP="00405707">
      <w:pPr>
        <w:spacing w:line="240" w:lineRule="auto"/>
        <w:rPr>
          <w:rFonts w:ascii="Times New Roman" w:hAnsi="Times New Roman" w:cs="Times New Roman"/>
          <w:sz w:val="28"/>
          <w:szCs w:val="28"/>
        </w:rPr>
      </w:pPr>
    </w:p>
    <w:p w14:paraId="4A5F854D" w14:textId="77777777" w:rsidR="00F16E6F" w:rsidRPr="00405707" w:rsidRDefault="00F16E6F" w:rsidP="00405707">
      <w:pPr>
        <w:spacing w:line="240" w:lineRule="auto"/>
        <w:jc w:val="center"/>
        <w:rPr>
          <w:rFonts w:ascii="Times New Roman" w:hAnsi="Times New Roman" w:cs="Times New Roman"/>
          <w:sz w:val="28"/>
          <w:szCs w:val="28"/>
        </w:rPr>
      </w:pPr>
      <w:r w:rsidRPr="00405707">
        <w:rPr>
          <w:rFonts w:ascii="Times New Roman" w:hAnsi="Times New Roman" w:cs="Times New Roman"/>
          <w:sz w:val="28"/>
          <w:szCs w:val="28"/>
        </w:rPr>
        <w:t xml:space="preserve">conclusion </w:t>
      </w:r>
    </w:p>
    <w:p w14:paraId="4D89B629" w14:textId="77777777" w:rsidR="00F16E6F" w:rsidRPr="00405707" w:rsidRDefault="00F16E6F" w:rsidP="00405707">
      <w:pPr>
        <w:spacing w:line="240" w:lineRule="auto"/>
        <w:rPr>
          <w:rFonts w:ascii="Times New Roman" w:hAnsi="Times New Roman" w:cs="Times New Roman"/>
          <w:sz w:val="28"/>
          <w:szCs w:val="28"/>
        </w:rPr>
      </w:pPr>
    </w:p>
    <w:p w14:paraId="371E1EE8" w14:textId="77777777" w:rsidR="00F16E6F" w:rsidRPr="00405707" w:rsidRDefault="00F16E6F" w:rsidP="00405707">
      <w:pPr>
        <w:spacing w:line="240" w:lineRule="auto"/>
        <w:rPr>
          <w:rFonts w:ascii="Times New Roman" w:hAnsi="Times New Roman" w:cs="Times New Roman"/>
          <w:sz w:val="28"/>
          <w:szCs w:val="28"/>
        </w:rPr>
      </w:pPr>
      <w:r w:rsidRPr="00405707">
        <w:rPr>
          <w:rFonts w:ascii="Times New Roman" w:hAnsi="Times New Roman" w:cs="Times New Roman"/>
          <w:sz w:val="28"/>
          <w:szCs w:val="28"/>
        </w:rPr>
        <w:tab/>
        <w:t xml:space="preserve">The hand I hold holds the hand it holds. This the interleafing of responsivity and responding.   Touch touching touch being touched. Relational intentionality for contacting taken further through a responsive phenomenology shows responsivity and the ability to respond as emergent functions of the contact-boundary of the </w:t>
      </w:r>
      <w:r w:rsidRPr="00405707">
        <w:rPr>
          <w:rFonts w:ascii="Times New Roman" w:hAnsi="Times New Roman" w:cs="Times New Roman"/>
          <w:sz w:val="28"/>
          <w:szCs w:val="28"/>
        </w:rPr>
        <w:lastRenderedPageBreak/>
        <w:t xml:space="preserve">organism/environment-lifeworld field. Responsive intentionality reveals that our relational sensibilities to the other, our openness, our availability, and our willingness to be responsive and to respond, are intrinsic in Gestalt therapy’s relational perspective. </w:t>
      </w:r>
    </w:p>
    <w:p w14:paraId="19948639" w14:textId="77777777" w:rsidR="00F16E6F" w:rsidRPr="00405707" w:rsidRDefault="00F16E6F" w:rsidP="00405707">
      <w:pPr>
        <w:spacing w:line="240" w:lineRule="auto"/>
        <w:rPr>
          <w:rFonts w:ascii="Times New Roman" w:hAnsi="Times New Roman" w:cs="Times New Roman"/>
          <w:sz w:val="28"/>
          <w:szCs w:val="28"/>
        </w:rPr>
      </w:pPr>
      <w:r w:rsidRPr="00405707">
        <w:rPr>
          <w:rFonts w:ascii="Times New Roman" w:hAnsi="Times New Roman" w:cs="Times New Roman"/>
          <w:sz w:val="28"/>
          <w:szCs w:val="28"/>
        </w:rPr>
        <w:tab/>
        <w:t xml:space="preserve">Emmanuel Levinas, the philosopher who developed an ethics as a first philosophy where ethics is relatedness to the other </w:t>
      </w:r>
      <w:r w:rsidRPr="00405707">
        <w:rPr>
          <w:rFonts w:ascii="Times New Roman" w:hAnsi="Times New Roman" w:cs="Times New Roman"/>
          <w:noProof/>
          <w:sz w:val="28"/>
          <w:szCs w:val="28"/>
        </w:rPr>
        <w:t>(Critchley, 2002,</w:t>
      </w:r>
      <w:r w:rsidRPr="00405707">
        <w:rPr>
          <w:rFonts w:ascii="Times New Roman" w:hAnsi="Times New Roman" w:cs="Times New Roman"/>
          <w:sz w:val="28"/>
          <w:szCs w:val="28"/>
        </w:rPr>
        <w:t xml:space="preserve"> p 15) and where our non-indifference to the other’s call is inescapable, wrote of responsivity and ethics. To him, </w:t>
      </w:r>
    </w:p>
    <w:p w14:paraId="71EDE74F" w14:textId="77777777" w:rsidR="00F16E6F" w:rsidRPr="00405707" w:rsidRDefault="00F16E6F" w:rsidP="00405707">
      <w:pPr>
        <w:spacing w:line="240" w:lineRule="auto"/>
        <w:ind w:left="1440"/>
        <w:rPr>
          <w:rFonts w:ascii="Times New Roman" w:hAnsi="Times New Roman" w:cs="Times New Roman"/>
          <w:sz w:val="28"/>
          <w:szCs w:val="28"/>
        </w:rPr>
      </w:pPr>
      <w:r w:rsidRPr="00405707">
        <w:rPr>
          <w:rFonts w:ascii="Times New Roman" w:hAnsi="Times New Roman" w:cs="Times New Roman"/>
          <w:sz w:val="28"/>
          <w:szCs w:val="28"/>
        </w:rPr>
        <w:t>ethics is lived in the embodied exposure to the other. It is because the self is sensible</w:t>
      </w:r>
      <w:proofErr w:type="gramStart"/>
      <w:r w:rsidRPr="00405707">
        <w:rPr>
          <w:rFonts w:ascii="Times New Roman" w:hAnsi="Times New Roman" w:cs="Times New Roman"/>
          <w:sz w:val="28"/>
          <w:szCs w:val="28"/>
        </w:rPr>
        <w:t>, that is to say, vulnerable</w:t>
      </w:r>
      <w:proofErr w:type="gramEnd"/>
      <w:r w:rsidRPr="00405707">
        <w:rPr>
          <w:rFonts w:ascii="Times New Roman" w:hAnsi="Times New Roman" w:cs="Times New Roman"/>
          <w:sz w:val="28"/>
          <w:szCs w:val="28"/>
        </w:rPr>
        <w:t xml:space="preserve">, passive… that it is worthy of ethics…. [The]… deep structure of subjective experience…is structured in a relation of responsibility, or, better, responsivity to the other…This deep structure is the other with the same, </w:t>
      </w:r>
      <w:proofErr w:type="gramStart"/>
      <w:r w:rsidRPr="00405707">
        <w:rPr>
          <w:rFonts w:ascii="Times New Roman" w:hAnsi="Times New Roman" w:cs="Times New Roman"/>
          <w:sz w:val="28"/>
          <w:szCs w:val="28"/>
        </w:rPr>
        <w:t>in spite of</w:t>
      </w:r>
      <w:proofErr w:type="gramEnd"/>
      <w:r w:rsidRPr="00405707">
        <w:rPr>
          <w:rFonts w:ascii="Times New Roman" w:hAnsi="Times New Roman" w:cs="Times New Roman"/>
          <w:sz w:val="28"/>
          <w:szCs w:val="28"/>
        </w:rPr>
        <w:t xml:space="preserve"> me, calling me to respond.”  </w:t>
      </w:r>
      <w:r w:rsidRPr="00405707">
        <w:rPr>
          <w:rFonts w:ascii="Times New Roman" w:hAnsi="Times New Roman" w:cs="Times New Roman"/>
          <w:noProof/>
          <w:sz w:val="28"/>
          <w:szCs w:val="28"/>
        </w:rPr>
        <w:t>(Critchley, 2002</w:t>
      </w:r>
      <w:r w:rsidRPr="00405707">
        <w:rPr>
          <w:rFonts w:ascii="Times New Roman" w:hAnsi="Times New Roman" w:cs="Times New Roman"/>
          <w:sz w:val="28"/>
          <w:szCs w:val="28"/>
        </w:rPr>
        <w:t>, p 21)</w:t>
      </w:r>
    </w:p>
    <w:p w14:paraId="4ECFC127" w14:textId="77777777" w:rsidR="00F16E6F" w:rsidRPr="00405707" w:rsidRDefault="00F16E6F" w:rsidP="00405707">
      <w:pPr>
        <w:spacing w:line="240" w:lineRule="auto"/>
        <w:ind w:left="1440"/>
        <w:rPr>
          <w:rFonts w:ascii="Times New Roman" w:hAnsi="Times New Roman" w:cs="Times New Roman"/>
          <w:sz w:val="28"/>
          <w:szCs w:val="28"/>
        </w:rPr>
      </w:pPr>
    </w:p>
    <w:p w14:paraId="1331CDF6" w14:textId="77777777" w:rsidR="00F16E6F" w:rsidRPr="00405707" w:rsidRDefault="00F16E6F" w:rsidP="00405707">
      <w:pPr>
        <w:spacing w:line="240" w:lineRule="auto"/>
        <w:rPr>
          <w:rFonts w:ascii="Times New Roman" w:hAnsi="Times New Roman" w:cs="Times New Roman"/>
          <w:sz w:val="28"/>
          <w:szCs w:val="28"/>
        </w:rPr>
      </w:pPr>
      <w:r w:rsidRPr="00405707">
        <w:rPr>
          <w:rFonts w:ascii="Times New Roman" w:hAnsi="Times New Roman" w:cs="Times New Roman"/>
          <w:sz w:val="28"/>
          <w:szCs w:val="28"/>
        </w:rPr>
        <w:t>This is not an ethics of right or wrong, but an ethics of non-indifference The “deep structure of subjective experience” must be understood in terms of our organism/environment-lifeworld field and consequently as the deep structure of intersubjective relational experience. This is the ethical field.  Responsive intentionality is emergent of this field.</w:t>
      </w:r>
    </w:p>
    <w:p w14:paraId="78B71335" w14:textId="77777777" w:rsidR="00F16E6F" w:rsidRPr="00405707" w:rsidRDefault="00F16E6F" w:rsidP="00405707">
      <w:pPr>
        <w:spacing w:line="240" w:lineRule="auto"/>
        <w:rPr>
          <w:rFonts w:ascii="Times New Roman" w:hAnsi="Times New Roman" w:cs="Times New Roman"/>
          <w:sz w:val="28"/>
          <w:szCs w:val="28"/>
        </w:rPr>
      </w:pPr>
      <w:r w:rsidRPr="00405707">
        <w:rPr>
          <w:rFonts w:ascii="Times New Roman" w:hAnsi="Times New Roman" w:cs="Times New Roman"/>
          <w:sz w:val="28"/>
          <w:szCs w:val="28"/>
        </w:rPr>
        <w:tab/>
        <w:t xml:space="preserve">Each turn of Gestalt therapy somewhat adds to our perspectives. This chapter suggests a turn to responsivity. </w:t>
      </w:r>
    </w:p>
    <w:p w14:paraId="2268C4FA" w14:textId="77777777" w:rsidR="00F16E6F" w:rsidRPr="00405707" w:rsidRDefault="00F16E6F" w:rsidP="00405707">
      <w:pPr>
        <w:spacing w:line="240" w:lineRule="auto"/>
        <w:ind w:firstLine="576"/>
        <w:rPr>
          <w:rFonts w:ascii="Times New Roman" w:hAnsi="Times New Roman" w:cs="Times New Roman"/>
          <w:sz w:val="28"/>
          <w:szCs w:val="28"/>
        </w:rPr>
      </w:pPr>
      <w:r w:rsidRPr="00405707">
        <w:rPr>
          <w:rFonts w:ascii="Times New Roman" w:hAnsi="Times New Roman" w:cs="Times New Roman"/>
          <w:sz w:val="28"/>
          <w:szCs w:val="28"/>
        </w:rPr>
        <w:t xml:space="preserve">Gestalt therapy has more and more opened its eyes to different forms of clinical suffering and wider and wider fields of practice. Now suffering calls across wide populations, needs for social justice, and the planet in crisis. Responsive intentionality of contacting is not a response to these calls; it is a way of finding within Gestalt therapy a support for our responses. </w:t>
      </w:r>
    </w:p>
    <w:p w14:paraId="285973E1" w14:textId="77777777" w:rsidR="00F16E6F" w:rsidRPr="00405707" w:rsidRDefault="00F16E6F" w:rsidP="00405707">
      <w:pPr>
        <w:spacing w:line="240" w:lineRule="auto"/>
        <w:ind w:firstLine="576"/>
        <w:rPr>
          <w:rFonts w:ascii="Times New Roman" w:hAnsi="Times New Roman" w:cs="Times New Roman"/>
          <w:sz w:val="28"/>
          <w:szCs w:val="28"/>
        </w:rPr>
      </w:pPr>
      <w:r w:rsidRPr="00405707">
        <w:rPr>
          <w:rFonts w:ascii="Times New Roman" w:hAnsi="Times New Roman" w:cs="Times New Roman"/>
          <w:sz w:val="28"/>
          <w:szCs w:val="28"/>
        </w:rPr>
        <w:t>Our responsive intentionality of contacting is our “exposure to the other.”  The other does not stop at the consulting room door any more than the lifeworld starts and stops at that threshold. Gestalt therapy’s contribution to responsive phenomenology, some of which I intended here, is a contribution to an engaged phenomenology of the contemporary lifeworld where it takes a good deal of courage to hope and to care in the face of growing authoritarianism, suffering and despair in a fragile, diseased world.</w:t>
      </w:r>
    </w:p>
    <w:p w14:paraId="0ABF360A" w14:textId="77777777" w:rsidR="00F16E6F" w:rsidRPr="00405707" w:rsidRDefault="00F16E6F" w:rsidP="00405707">
      <w:pPr>
        <w:spacing w:line="240" w:lineRule="auto"/>
        <w:rPr>
          <w:rFonts w:ascii="Times New Roman" w:hAnsi="Times New Roman" w:cs="Times New Roman"/>
          <w:sz w:val="28"/>
          <w:szCs w:val="28"/>
        </w:rPr>
      </w:pPr>
      <w:r w:rsidRPr="00405707">
        <w:rPr>
          <w:rFonts w:ascii="Times New Roman" w:hAnsi="Times New Roman" w:cs="Times New Roman"/>
          <w:sz w:val="28"/>
          <w:szCs w:val="28"/>
        </w:rPr>
        <w:tab/>
      </w:r>
    </w:p>
    <w:p w14:paraId="6488D30E" w14:textId="77777777" w:rsidR="00F16E6F" w:rsidRPr="00405707" w:rsidRDefault="00F16E6F" w:rsidP="00405707">
      <w:pPr>
        <w:spacing w:line="240" w:lineRule="auto"/>
        <w:jc w:val="center"/>
        <w:rPr>
          <w:rFonts w:ascii="Times New Roman" w:hAnsi="Times New Roman" w:cs="Times New Roman"/>
          <w:sz w:val="28"/>
          <w:szCs w:val="28"/>
        </w:rPr>
      </w:pPr>
      <w:r w:rsidRPr="00405707">
        <w:rPr>
          <w:rFonts w:ascii="Times New Roman" w:hAnsi="Times New Roman" w:cs="Times New Roman"/>
          <w:sz w:val="28"/>
          <w:szCs w:val="28"/>
        </w:rPr>
        <w:lastRenderedPageBreak/>
        <w:t>References</w:t>
      </w:r>
    </w:p>
    <w:p w14:paraId="7015AD7B" w14:textId="77777777" w:rsidR="00F16E6F" w:rsidRPr="00405707" w:rsidRDefault="00F16E6F" w:rsidP="00405707">
      <w:pPr>
        <w:spacing w:line="240" w:lineRule="auto"/>
        <w:jc w:val="center"/>
        <w:rPr>
          <w:rFonts w:ascii="Times New Roman" w:hAnsi="Times New Roman" w:cs="Times New Roman"/>
          <w:sz w:val="28"/>
          <w:szCs w:val="28"/>
        </w:rPr>
      </w:pPr>
    </w:p>
    <w:p w14:paraId="0AAD2905" w14:textId="77777777" w:rsidR="00F16E6F" w:rsidRPr="00405707" w:rsidRDefault="00F16E6F" w:rsidP="00405707">
      <w:pPr>
        <w:pStyle w:val="Bibliography"/>
        <w:rPr>
          <w:rFonts w:ascii="Times New Roman" w:hAnsi="Times New Roman"/>
          <w:sz w:val="28"/>
          <w:szCs w:val="28"/>
          <w:lang w:val="en-US"/>
        </w:rPr>
      </w:pPr>
    </w:p>
    <w:p w14:paraId="300B567F"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Bloom, D. (2009). One good turn deserves another...and another...and another: personal reflections. </w:t>
      </w:r>
      <w:r w:rsidRPr="00405707">
        <w:rPr>
          <w:rFonts w:ascii="Times New Roman" w:hAnsi="Times New Roman"/>
          <w:i/>
          <w:iCs/>
          <w:sz w:val="28"/>
          <w:szCs w:val="28"/>
          <w:lang w:val="en-US"/>
        </w:rPr>
        <w:t>Gestalt Review</w:t>
      </w:r>
      <w:r w:rsidRPr="00405707">
        <w:rPr>
          <w:rFonts w:ascii="Times New Roman" w:hAnsi="Times New Roman"/>
          <w:sz w:val="28"/>
          <w:szCs w:val="28"/>
          <w:lang w:val="en-US"/>
        </w:rPr>
        <w:t xml:space="preserve">, </w:t>
      </w:r>
      <w:r w:rsidRPr="00405707">
        <w:rPr>
          <w:rFonts w:ascii="Times New Roman" w:hAnsi="Times New Roman"/>
          <w:i/>
          <w:iCs/>
          <w:sz w:val="28"/>
          <w:szCs w:val="28"/>
          <w:lang w:val="en-US"/>
        </w:rPr>
        <w:t>15</w:t>
      </w:r>
      <w:r w:rsidRPr="00405707">
        <w:rPr>
          <w:rFonts w:ascii="Times New Roman" w:hAnsi="Times New Roman"/>
          <w:sz w:val="28"/>
          <w:szCs w:val="28"/>
          <w:lang w:val="en-US"/>
        </w:rPr>
        <w:t>(3), 296–311.</w:t>
      </w:r>
    </w:p>
    <w:p w14:paraId="3E020A06"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Bloom, D. (2013). Situated ethics and the ethical world of Gestalt therapy. In G. Francesetti, M. Gecele, &amp; J. Roubal (Eds.), </w:t>
      </w:r>
      <w:r w:rsidRPr="00405707">
        <w:rPr>
          <w:rFonts w:ascii="Times New Roman" w:hAnsi="Times New Roman"/>
          <w:i/>
          <w:iCs/>
          <w:sz w:val="28"/>
          <w:szCs w:val="28"/>
          <w:lang w:val="en-US"/>
        </w:rPr>
        <w:t>Gestalt therapy in clinical practice: From psychotherapy to the aesthetics of contact</w:t>
      </w:r>
      <w:r w:rsidRPr="00405707">
        <w:rPr>
          <w:rFonts w:ascii="Times New Roman" w:hAnsi="Times New Roman"/>
          <w:sz w:val="28"/>
          <w:szCs w:val="28"/>
          <w:lang w:val="en-US"/>
        </w:rPr>
        <w:t xml:space="preserve"> (pp. 131–145). FrancoAngeli.</w:t>
      </w:r>
    </w:p>
    <w:p w14:paraId="6F475162"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Bloom, D. (2016). The Relational function of self: </w:t>
      </w:r>
      <w:proofErr w:type="spellStart"/>
      <w:r w:rsidRPr="00405707">
        <w:rPr>
          <w:rFonts w:ascii="Times New Roman" w:hAnsi="Times New Roman"/>
          <w:sz w:val="28"/>
          <w:szCs w:val="28"/>
          <w:lang w:val="en-US"/>
        </w:rPr>
        <w:t>self function</w:t>
      </w:r>
      <w:proofErr w:type="spellEnd"/>
      <w:r w:rsidRPr="00405707">
        <w:rPr>
          <w:rFonts w:ascii="Times New Roman" w:hAnsi="Times New Roman"/>
          <w:sz w:val="28"/>
          <w:szCs w:val="28"/>
          <w:lang w:val="en-US"/>
        </w:rPr>
        <w:t xml:space="preserve"> in in the most human plane. In J.-M. Jean-Marie Robine (Ed.), </w:t>
      </w:r>
      <w:r w:rsidRPr="00405707">
        <w:rPr>
          <w:rFonts w:ascii="Times New Roman" w:hAnsi="Times New Roman"/>
          <w:i/>
          <w:iCs/>
          <w:sz w:val="28"/>
          <w:szCs w:val="28"/>
          <w:lang w:val="en-US"/>
        </w:rPr>
        <w:t>Self, A polyphony of Contemporary Gestalt therapists</w:t>
      </w:r>
      <w:r w:rsidRPr="00405707">
        <w:rPr>
          <w:rFonts w:ascii="Times New Roman" w:hAnsi="Times New Roman"/>
          <w:sz w:val="28"/>
          <w:szCs w:val="28"/>
          <w:lang w:val="en-US"/>
        </w:rPr>
        <w:t>. L’Exprimerie.</w:t>
      </w:r>
    </w:p>
    <w:p w14:paraId="1E0A0833"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Bloom, D. (2018). Evil: The sight that cannot be seen: the speaking that cannot be said. In M. Spagnuolo Lobb &amp; et al (Eds.), </w:t>
      </w:r>
      <w:r w:rsidRPr="00405707">
        <w:rPr>
          <w:rFonts w:ascii="Times New Roman" w:hAnsi="Times New Roman"/>
          <w:i/>
          <w:iCs/>
          <w:sz w:val="28"/>
          <w:szCs w:val="28"/>
          <w:lang w:val="en-US"/>
        </w:rPr>
        <w:t>The Aesthetic of otherness: Meeting at the boundary in a desensitized world</w:t>
      </w:r>
      <w:r w:rsidRPr="00405707">
        <w:rPr>
          <w:rFonts w:ascii="Times New Roman" w:hAnsi="Times New Roman"/>
          <w:sz w:val="28"/>
          <w:szCs w:val="28"/>
          <w:lang w:val="en-US"/>
        </w:rPr>
        <w:t>. Istituto di Gestalt HCCC Italy.</w:t>
      </w:r>
    </w:p>
    <w:p w14:paraId="01E96014"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Bloom, D. (2019a). From sentience to sapience: The awareness-consciousness continuum and the lifeworld. </w:t>
      </w:r>
      <w:r w:rsidRPr="00405707">
        <w:rPr>
          <w:rFonts w:ascii="Times New Roman" w:hAnsi="Times New Roman"/>
          <w:i/>
          <w:iCs/>
          <w:sz w:val="28"/>
          <w:szCs w:val="28"/>
          <w:lang w:val="en-US"/>
        </w:rPr>
        <w:t>Gestalt Review</w:t>
      </w:r>
      <w:r w:rsidRPr="00405707">
        <w:rPr>
          <w:rFonts w:ascii="Times New Roman" w:hAnsi="Times New Roman"/>
          <w:sz w:val="28"/>
          <w:szCs w:val="28"/>
          <w:lang w:val="en-US"/>
        </w:rPr>
        <w:t xml:space="preserve">, </w:t>
      </w:r>
      <w:r w:rsidRPr="00405707">
        <w:rPr>
          <w:rFonts w:ascii="Times New Roman" w:hAnsi="Times New Roman"/>
          <w:i/>
          <w:iCs/>
          <w:sz w:val="28"/>
          <w:szCs w:val="28"/>
          <w:lang w:val="en-US"/>
        </w:rPr>
        <w:t>23</w:t>
      </w:r>
      <w:r w:rsidRPr="00405707">
        <w:rPr>
          <w:rFonts w:ascii="Times New Roman" w:hAnsi="Times New Roman"/>
          <w:sz w:val="28"/>
          <w:szCs w:val="28"/>
          <w:lang w:val="en-US"/>
        </w:rPr>
        <w:t xml:space="preserve">(1), 18–43 </w:t>
      </w:r>
    </w:p>
    <w:p w14:paraId="711780AE"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Bloom, D. (2019b). Gestalt therapy and phenomenology: The intersection of parallel lines. In P. Brownell (Ed.), </w:t>
      </w:r>
      <w:r w:rsidRPr="00405707">
        <w:rPr>
          <w:rFonts w:ascii="Times New Roman" w:hAnsi="Times New Roman"/>
          <w:i/>
          <w:iCs/>
          <w:sz w:val="28"/>
          <w:szCs w:val="28"/>
          <w:lang w:val="en-US"/>
        </w:rPr>
        <w:t>Handbook for theory, research, and practice in Gestalt therapy (2nd Edition)</w:t>
      </w:r>
      <w:r w:rsidRPr="00405707">
        <w:rPr>
          <w:rFonts w:ascii="Times New Roman" w:hAnsi="Times New Roman"/>
          <w:sz w:val="28"/>
          <w:szCs w:val="28"/>
          <w:lang w:val="en-US"/>
        </w:rPr>
        <w:t xml:space="preserve"> (pp. 183–202). Cambridge Scholars Publishing.</w:t>
      </w:r>
    </w:p>
    <w:p w14:paraId="2DB093DE"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Bloom, D. (2019c). Neither from the “inside” looking “out” nor from the “outside” looking “in.” In G. Francesetti &amp; T. Griffero (Eds.), </w:t>
      </w:r>
      <w:r w:rsidRPr="00405707">
        <w:rPr>
          <w:rFonts w:ascii="Times New Roman" w:hAnsi="Times New Roman"/>
          <w:i/>
          <w:iCs/>
          <w:sz w:val="28"/>
          <w:szCs w:val="28"/>
          <w:lang w:val="en-US"/>
        </w:rPr>
        <w:t>Psychopathology and Atmospheres, neither inside nor outside</w:t>
      </w:r>
      <w:r w:rsidRPr="00405707">
        <w:rPr>
          <w:rFonts w:ascii="Times New Roman" w:hAnsi="Times New Roman"/>
          <w:sz w:val="28"/>
          <w:szCs w:val="28"/>
          <w:lang w:val="en-US"/>
        </w:rPr>
        <w:t xml:space="preserve"> (pp. 178–190). Cambridge Scholars Publishing.</w:t>
      </w:r>
    </w:p>
    <w:p w14:paraId="6A257168"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Critchley, S. (2002). Introduction. In </w:t>
      </w:r>
      <w:r w:rsidRPr="00405707">
        <w:rPr>
          <w:rFonts w:ascii="Times New Roman" w:hAnsi="Times New Roman"/>
          <w:i/>
          <w:iCs/>
          <w:sz w:val="28"/>
          <w:szCs w:val="28"/>
          <w:lang w:val="en-US"/>
        </w:rPr>
        <w:t xml:space="preserve">The </w:t>
      </w:r>
      <w:proofErr w:type="spellStart"/>
      <w:r w:rsidRPr="00405707">
        <w:rPr>
          <w:rFonts w:ascii="Times New Roman" w:hAnsi="Times New Roman"/>
          <w:i/>
          <w:iCs/>
          <w:sz w:val="28"/>
          <w:szCs w:val="28"/>
          <w:lang w:val="en-US"/>
        </w:rPr>
        <w:t>cambridge</w:t>
      </w:r>
      <w:proofErr w:type="spellEnd"/>
      <w:r w:rsidRPr="00405707">
        <w:rPr>
          <w:rFonts w:ascii="Times New Roman" w:hAnsi="Times New Roman"/>
          <w:i/>
          <w:iCs/>
          <w:sz w:val="28"/>
          <w:szCs w:val="28"/>
          <w:lang w:val="en-US"/>
        </w:rPr>
        <w:t xml:space="preserve"> companion to Levinas</w:t>
      </w:r>
      <w:r w:rsidRPr="00405707">
        <w:rPr>
          <w:rFonts w:ascii="Times New Roman" w:hAnsi="Times New Roman"/>
          <w:sz w:val="28"/>
          <w:szCs w:val="28"/>
          <w:lang w:val="en-US"/>
        </w:rPr>
        <w:t>. Cambridge University Press.</w:t>
      </w:r>
    </w:p>
    <w:p w14:paraId="397C80BE"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Drummond, J. J. (2010). </w:t>
      </w:r>
      <w:r w:rsidRPr="00405707">
        <w:rPr>
          <w:rFonts w:ascii="Times New Roman" w:hAnsi="Times New Roman"/>
          <w:i/>
          <w:iCs/>
          <w:sz w:val="28"/>
          <w:szCs w:val="28"/>
          <w:lang w:val="en-US"/>
        </w:rPr>
        <w:t>The a to z of Husserl’s philosophy</w:t>
      </w:r>
      <w:r w:rsidRPr="00405707">
        <w:rPr>
          <w:rFonts w:ascii="Times New Roman" w:hAnsi="Times New Roman"/>
          <w:sz w:val="28"/>
          <w:szCs w:val="28"/>
          <w:lang w:val="en-US"/>
        </w:rPr>
        <w:t>. Scarecrow Press.</w:t>
      </w:r>
    </w:p>
    <w:p w14:paraId="7863CA51" w14:textId="77777777" w:rsidR="00F16E6F" w:rsidRPr="00405707" w:rsidRDefault="00F16E6F" w:rsidP="00405707">
      <w:pPr>
        <w:spacing w:line="240" w:lineRule="auto"/>
        <w:rPr>
          <w:rFonts w:ascii="Times New Roman" w:hAnsi="Times New Roman" w:cs="Times New Roman"/>
          <w:sz w:val="28"/>
          <w:szCs w:val="28"/>
        </w:rPr>
      </w:pPr>
    </w:p>
    <w:p w14:paraId="275588B4" w14:textId="77777777" w:rsidR="00F16E6F" w:rsidRPr="00405707" w:rsidRDefault="00F16E6F" w:rsidP="00405707">
      <w:pPr>
        <w:spacing w:line="240" w:lineRule="auto"/>
        <w:rPr>
          <w:rFonts w:ascii="Times New Roman" w:hAnsi="Times New Roman" w:cs="Times New Roman"/>
          <w:sz w:val="28"/>
          <w:szCs w:val="28"/>
        </w:rPr>
      </w:pPr>
    </w:p>
    <w:p w14:paraId="176A1DDC"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Faulkner, W. (1951). </w:t>
      </w:r>
      <w:r w:rsidRPr="00405707">
        <w:rPr>
          <w:rFonts w:ascii="Times New Roman" w:hAnsi="Times New Roman"/>
          <w:i/>
          <w:iCs/>
          <w:sz w:val="28"/>
          <w:szCs w:val="28"/>
          <w:lang w:val="en-US"/>
        </w:rPr>
        <w:t>Requiem for a nun—Wikipedia</w:t>
      </w:r>
      <w:r w:rsidRPr="00405707">
        <w:rPr>
          <w:rFonts w:ascii="Times New Roman" w:hAnsi="Times New Roman"/>
          <w:sz w:val="28"/>
          <w:szCs w:val="28"/>
          <w:lang w:val="en-US"/>
        </w:rPr>
        <w:t>. Retrieved February 25, 2021, from https://en.wikipedia.org/wiki/Requiem_for_a_Nun</w:t>
      </w:r>
    </w:p>
    <w:p w14:paraId="5D084ACD"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Francesetti, G. (2015a). From individual symptoms to psychopathological fields. Towards a field perspective on clinical suffering. </w:t>
      </w:r>
      <w:r w:rsidRPr="00405707">
        <w:rPr>
          <w:rFonts w:ascii="Times New Roman" w:hAnsi="Times New Roman"/>
          <w:i/>
          <w:iCs/>
          <w:sz w:val="28"/>
          <w:szCs w:val="28"/>
          <w:lang w:val="en-US"/>
        </w:rPr>
        <w:t>British Gestalt Journal</w:t>
      </w:r>
      <w:r w:rsidRPr="00405707">
        <w:rPr>
          <w:rFonts w:ascii="Times New Roman" w:hAnsi="Times New Roman"/>
          <w:sz w:val="28"/>
          <w:szCs w:val="28"/>
          <w:lang w:val="en-US"/>
        </w:rPr>
        <w:t xml:space="preserve">, </w:t>
      </w:r>
      <w:r w:rsidRPr="00405707">
        <w:rPr>
          <w:rFonts w:ascii="Times New Roman" w:hAnsi="Times New Roman"/>
          <w:i/>
          <w:iCs/>
          <w:sz w:val="28"/>
          <w:szCs w:val="28"/>
          <w:lang w:val="en-US"/>
        </w:rPr>
        <w:t>24</w:t>
      </w:r>
      <w:r w:rsidRPr="00405707">
        <w:rPr>
          <w:rFonts w:ascii="Times New Roman" w:hAnsi="Times New Roman"/>
          <w:sz w:val="28"/>
          <w:szCs w:val="28"/>
          <w:lang w:val="en-US"/>
        </w:rPr>
        <w:t>(1), 5–19.</w:t>
      </w:r>
    </w:p>
    <w:p w14:paraId="222A780F"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Francesetti, G. (2015b). Pain and beauty: From psychopathology to the aesthetics of contact. </w:t>
      </w:r>
      <w:r w:rsidRPr="00405707">
        <w:rPr>
          <w:rFonts w:ascii="Times New Roman" w:hAnsi="Times New Roman"/>
          <w:i/>
          <w:iCs/>
          <w:sz w:val="28"/>
          <w:szCs w:val="28"/>
          <w:lang w:val="en-US"/>
        </w:rPr>
        <w:t>British Gestalt Journal</w:t>
      </w:r>
      <w:r w:rsidRPr="00405707">
        <w:rPr>
          <w:rFonts w:ascii="Times New Roman" w:hAnsi="Times New Roman"/>
          <w:sz w:val="28"/>
          <w:szCs w:val="28"/>
          <w:lang w:val="en-US"/>
        </w:rPr>
        <w:t xml:space="preserve">, </w:t>
      </w:r>
      <w:r w:rsidRPr="00405707">
        <w:rPr>
          <w:rFonts w:ascii="Times New Roman" w:hAnsi="Times New Roman"/>
          <w:i/>
          <w:iCs/>
          <w:sz w:val="28"/>
          <w:szCs w:val="28"/>
          <w:lang w:val="en-US"/>
        </w:rPr>
        <w:t>21</w:t>
      </w:r>
      <w:r w:rsidRPr="00405707">
        <w:rPr>
          <w:rFonts w:ascii="Times New Roman" w:hAnsi="Times New Roman"/>
          <w:sz w:val="28"/>
          <w:szCs w:val="28"/>
          <w:lang w:val="en-US"/>
        </w:rPr>
        <w:t>(2), 4–18.</w:t>
      </w:r>
    </w:p>
    <w:p w14:paraId="524CAC44"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Francesetti, G. (2019c). The field perspective in clinical practice: Towards a theory of clinical phronesis. In </w:t>
      </w:r>
      <w:r w:rsidRPr="00405707">
        <w:rPr>
          <w:rFonts w:ascii="Times New Roman" w:hAnsi="Times New Roman"/>
          <w:i/>
          <w:iCs/>
          <w:sz w:val="28"/>
          <w:szCs w:val="28"/>
          <w:lang w:val="en-US"/>
        </w:rPr>
        <w:t>Handbook for Theory, Research and Practice in Gestalt Therapy (2nd edition)</w:t>
      </w:r>
      <w:r w:rsidRPr="00405707">
        <w:rPr>
          <w:rFonts w:ascii="Times New Roman" w:hAnsi="Times New Roman"/>
          <w:sz w:val="28"/>
          <w:szCs w:val="28"/>
          <w:lang w:val="en-US"/>
        </w:rPr>
        <w:t xml:space="preserve"> (2ns ed., pp. 268–302). Cambridge Scholars Publishing.</w:t>
      </w:r>
    </w:p>
    <w:p w14:paraId="62799E38" w14:textId="77777777" w:rsidR="00F16E6F" w:rsidRPr="00405707" w:rsidRDefault="00F16E6F" w:rsidP="00405707">
      <w:pPr>
        <w:spacing w:line="240" w:lineRule="auto"/>
        <w:rPr>
          <w:rFonts w:ascii="Times New Roman" w:hAnsi="Times New Roman" w:cs="Times New Roman"/>
          <w:sz w:val="28"/>
          <w:szCs w:val="28"/>
        </w:rPr>
      </w:pPr>
    </w:p>
    <w:p w14:paraId="6EB7AB4C"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Francesetti, G., &amp; Griffero, T. Eds (2019). </w:t>
      </w:r>
      <w:r w:rsidRPr="00405707">
        <w:rPr>
          <w:rFonts w:ascii="Times New Roman" w:hAnsi="Times New Roman"/>
          <w:i/>
          <w:iCs/>
          <w:sz w:val="28"/>
          <w:szCs w:val="28"/>
          <w:lang w:val="en-US"/>
        </w:rPr>
        <w:t>Psychopathology and atmospheres, neither inside nor outside</w:t>
      </w:r>
      <w:r w:rsidRPr="00405707">
        <w:rPr>
          <w:rFonts w:ascii="Times New Roman" w:hAnsi="Times New Roman"/>
          <w:sz w:val="28"/>
          <w:szCs w:val="28"/>
          <w:lang w:val="en-US"/>
        </w:rPr>
        <w:t xml:space="preserve"> Cambridge Scholars Publishing.</w:t>
      </w:r>
    </w:p>
    <w:p w14:paraId="17338477" w14:textId="77777777" w:rsidR="00F16E6F" w:rsidRPr="00405707" w:rsidRDefault="00F16E6F" w:rsidP="00405707">
      <w:pPr>
        <w:spacing w:line="240" w:lineRule="auto"/>
        <w:ind w:left="900" w:hanging="756"/>
        <w:rPr>
          <w:rFonts w:ascii="Times New Roman" w:hAnsi="Times New Roman" w:cs="Times New Roman"/>
          <w:sz w:val="28"/>
          <w:szCs w:val="28"/>
        </w:rPr>
      </w:pPr>
      <w:r w:rsidRPr="00405707">
        <w:rPr>
          <w:rFonts w:ascii="Times New Roman" w:hAnsi="Times New Roman" w:cs="Times New Roman"/>
          <w:sz w:val="28"/>
          <w:szCs w:val="28"/>
        </w:rPr>
        <w:t xml:space="preserve">Francesetti, G., &amp; Roubal, J. (2020). Field theory in contemporary Gestalt </w:t>
      </w:r>
      <w:proofErr w:type="spellStart"/>
      <w:r w:rsidRPr="00405707">
        <w:rPr>
          <w:rFonts w:ascii="Times New Roman" w:hAnsi="Times New Roman" w:cs="Times New Roman"/>
          <w:sz w:val="28"/>
          <w:szCs w:val="28"/>
        </w:rPr>
        <w:t>terapy</w:t>
      </w:r>
      <w:proofErr w:type="spellEnd"/>
      <w:r w:rsidRPr="00405707">
        <w:rPr>
          <w:rFonts w:ascii="Times New Roman" w:hAnsi="Times New Roman" w:cs="Times New Roman"/>
          <w:sz w:val="28"/>
          <w:szCs w:val="28"/>
        </w:rPr>
        <w:t xml:space="preserve">, Part 1: Modulating the therapist’s presence in clinical practice. </w:t>
      </w:r>
      <w:r w:rsidRPr="00405707">
        <w:rPr>
          <w:rFonts w:ascii="Times New Roman" w:hAnsi="Times New Roman" w:cs="Times New Roman"/>
          <w:i/>
          <w:iCs/>
          <w:sz w:val="28"/>
          <w:szCs w:val="28"/>
        </w:rPr>
        <w:t>Gestalt Review</w:t>
      </w:r>
      <w:r w:rsidRPr="00405707">
        <w:rPr>
          <w:rFonts w:ascii="Times New Roman" w:hAnsi="Times New Roman" w:cs="Times New Roman"/>
          <w:sz w:val="28"/>
          <w:szCs w:val="28"/>
        </w:rPr>
        <w:t xml:space="preserve">, </w:t>
      </w:r>
      <w:r w:rsidRPr="00405707">
        <w:rPr>
          <w:rFonts w:ascii="Times New Roman" w:hAnsi="Times New Roman" w:cs="Times New Roman"/>
          <w:i/>
          <w:iCs/>
          <w:sz w:val="28"/>
          <w:szCs w:val="28"/>
        </w:rPr>
        <w:t>24</w:t>
      </w:r>
      <w:r w:rsidRPr="00405707">
        <w:rPr>
          <w:rFonts w:ascii="Times New Roman" w:hAnsi="Times New Roman" w:cs="Times New Roman"/>
          <w:sz w:val="28"/>
          <w:szCs w:val="28"/>
        </w:rPr>
        <w:t>(2), 113–136.</w:t>
      </w:r>
    </w:p>
    <w:p w14:paraId="2E6D7477"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Friesen, N. (2014). Waldenfels’ responsive phenomenology of the alien: An introduction. </w:t>
      </w:r>
      <w:r w:rsidRPr="00405707">
        <w:rPr>
          <w:rFonts w:ascii="Times New Roman" w:hAnsi="Times New Roman"/>
          <w:i/>
          <w:iCs/>
          <w:sz w:val="28"/>
          <w:szCs w:val="28"/>
          <w:lang w:val="en-US"/>
        </w:rPr>
        <w:t>Phenomenology &amp; Practice</w:t>
      </w:r>
      <w:r w:rsidRPr="00405707">
        <w:rPr>
          <w:rFonts w:ascii="Times New Roman" w:hAnsi="Times New Roman"/>
          <w:sz w:val="28"/>
          <w:szCs w:val="28"/>
          <w:lang w:val="en-US"/>
        </w:rPr>
        <w:t xml:space="preserve">, </w:t>
      </w:r>
      <w:r w:rsidRPr="00405707">
        <w:rPr>
          <w:rFonts w:ascii="Times New Roman" w:hAnsi="Times New Roman"/>
          <w:i/>
          <w:iCs/>
          <w:sz w:val="28"/>
          <w:szCs w:val="28"/>
          <w:lang w:val="en-US"/>
        </w:rPr>
        <w:t>7</w:t>
      </w:r>
      <w:r w:rsidRPr="00405707">
        <w:rPr>
          <w:rFonts w:ascii="Times New Roman" w:hAnsi="Times New Roman"/>
          <w:sz w:val="28"/>
          <w:szCs w:val="28"/>
          <w:lang w:val="en-US"/>
        </w:rPr>
        <w:t>(14), 69–77.</w:t>
      </w:r>
    </w:p>
    <w:p w14:paraId="3819CBA7"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Gadamer, H.-G. (1976). The phenomenological movement. In </w:t>
      </w:r>
      <w:r w:rsidRPr="00405707">
        <w:rPr>
          <w:rFonts w:ascii="Times New Roman" w:hAnsi="Times New Roman"/>
          <w:i/>
          <w:iCs/>
          <w:sz w:val="28"/>
          <w:szCs w:val="28"/>
          <w:lang w:val="en-US"/>
        </w:rPr>
        <w:t>Philosophical Hermeneutics</w:t>
      </w:r>
      <w:r w:rsidRPr="00405707">
        <w:rPr>
          <w:rFonts w:ascii="Times New Roman" w:hAnsi="Times New Roman"/>
          <w:sz w:val="28"/>
          <w:szCs w:val="28"/>
          <w:lang w:val="en-US"/>
        </w:rPr>
        <w:t xml:space="preserve"> (pp. 130–181). Univ of California Pr.</w:t>
      </w:r>
    </w:p>
    <w:p w14:paraId="50A69803"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Harrington, A. (1996). </w:t>
      </w:r>
      <w:r w:rsidRPr="00405707">
        <w:rPr>
          <w:rFonts w:ascii="Times New Roman" w:hAnsi="Times New Roman"/>
          <w:i/>
          <w:iCs/>
          <w:sz w:val="28"/>
          <w:szCs w:val="28"/>
          <w:lang w:val="en-US"/>
        </w:rPr>
        <w:t>Reenchanted science: Holism in German culture from Wilhelm II to Hitler</w:t>
      </w:r>
      <w:r w:rsidRPr="00405707">
        <w:rPr>
          <w:rFonts w:ascii="Times New Roman" w:hAnsi="Times New Roman"/>
          <w:sz w:val="28"/>
          <w:szCs w:val="28"/>
          <w:lang w:val="en-US"/>
        </w:rPr>
        <w:t>. Princeton University Press.</w:t>
      </w:r>
    </w:p>
    <w:p w14:paraId="22229CD5"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Heidegger, M. (1962). </w:t>
      </w:r>
      <w:r w:rsidRPr="00405707">
        <w:rPr>
          <w:rFonts w:ascii="Times New Roman" w:hAnsi="Times New Roman"/>
          <w:i/>
          <w:iCs/>
          <w:sz w:val="28"/>
          <w:szCs w:val="28"/>
          <w:lang w:val="en-US"/>
        </w:rPr>
        <w:t>Being and time (J. Macquarrie &amp; E. Robinson, trans.)</w:t>
      </w:r>
      <w:r w:rsidRPr="00405707">
        <w:rPr>
          <w:rFonts w:ascii="Times New Roman" w:hAnsi="Times New Roman"/>
          <w:sz w:val="28"/>
          <w:szCs w:val="28"/>
          <w:lang w:val="en-US"/>
        </w:rPr>
        <w:t>. New York: Harper &amp; Row.</w:t>
      </w:r>
    </w:p>
    <w:p w14:paraId="24E766E1"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Husserl, E. (1970). </w:t>
      </w:r>
      <w:r w:rsidRPr="00405707">
        <w:rPr>
          <w:rFonts w:ascii="Times New Roman" w:hAnsi="Times New Roman"/>
          <w:i/>
          <w:iCs/>
          <w:sz w:val="28"/>
          <w:szCs w:val="28"/>
          <w:lang w:val="en-US"/>
        </w:rPr>
        <w:t xml:space="preserve">The Crisis of the european sciences and </w:t>
      </w:r>
      <w:proofErr w:type="spellStart"/>
      <w:r w:rsidRPr="00405707">
        <w:rPr>
          <w:rFonts w:ascii="Times New Roman" w:hAnsi="Times New Roman"/>
          <w:i/>
          <w:iCs/>
          <w:sz w:val="28"/>
          <w:szCs w:val="28"/>
          <w:lang w:val="en-US"/>
        </w:rPr>
        <w:t>tTranscendental</w:t>
      </w:r>
      <w:proofErr w:type="spellEnd"/>
      <w:r w:rsidRPr="00405707">
        <w:rPr>
          <w:rFonts w:ascii="Times New Roman" w:hAnsi="Times New Roman"/>
          <w:i/>
          <w:iCs/>
          <w:sz w:val="28"/>
          <w:szCs w:val="28"/>
          <w:lang w:val="en-US"/>
        </w:rPr>
        <w:t xml:space="preserve"> phenomenology</w:t>
      </w:r>
      <w:r w:rsidRPr="00405707">
        <w:rPr>
          <w:rFonts w:ascii="Times New Roman" w:hAnsi="Times New Roman"/>
          <w:sz w:val="28"/>
          <w:szCs w:val="28"/>
          <w:lang w:val="en-US"/>
        </w:rPr>
        <w:t>. Northwestern University Press.</w:t>
      </w:r>
    </w:p>
    <w:p w14:paraId="5C6294DC"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Husserl, E. (1989). </w:t>
      </w:r>
      <w:r w:rsidRPr="00405707">
        <w:rPr>
          <w:rFonts w:ascii="Times New Roman" w:hAnsi="Times New Roman"/>
          <w:i/>
          <w:iCs/>
          <w:sz w:val="28"/>
          <w:szCs w:val="28"/>
          <w:lang w:val="en-US"/>
        </w:rPr>
        <w:t>Ideas pertaining to a pure phenomenology and to a phenomenological philosophy, Second Book</w:t>
      </w:r>
      <w:r w:rsidRPr="00405707">
        <w:rPr>
          <w:rFonts w:ascii="Times New Roman" w:hAnsi="Times New Roman"/>
          <w:sz w:val="28"/>
          <w:szCs w:val="28"/>
          <w:lang w:val="en-US"/>
        </w:rPr>
        <w:t xml:space="preserve"> (R. </w:t>
      </w:r>
      <w:proofErr w:type="spellStart"/>
      <w:r w:rsidRPr="00405707">
        <w:rPr>
          <w:rFonts w:ascii="Times New Roman" w:hAnsi="Times New Roman"/>
          <w:sz w:val="28"/>
          <w:szCs w:val="28"/>
          <w:lang w:val="en-US"/>
        </w:rPr>
        <w:t>Rojcewicz</w:t>
      </w:r>
      <w:proofErr w:type="spellEnd"/>
      <w:r w:rsidRPr="00405707">
        <w:rPr>
          <w:rFonts w:ascii="Times New Roman" w:hAnsi="Times New Roman"/>
          <w:sz w:val="28"/>
          <w:szCs w:val="28"/>
          <w:lang w:val="en-US"/>
        </w:rPr>
        <w:t xml:space="preserve"> &amp; A. Schuwer, Trans.). Kluwer Academic Publishers.</w:t>
      </w:r>
    </w:p>
    <w:p w14:paraId="4CF5B4EE"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Hycner, R. (1985). Dialogical Gestalt therapy: An initial proposal. </w:t>
      </w:r>
      <w:r w:rsidRPr="00405707">
        <w:rPr>
          <w:rFonts w:ascii="Times New Roman" w:hAnsi="Times New Roman"/>
          <w:i/>
          <w:iCs/>
          <w:sz w:val="28"/>
          <w:szCs w:val="28"/>
          <w:lang w:val="en-US"/>
        </w:rPr>
        <w:t>The Gestalt Journal</w:t>
      </w:r>
      <w:r w:rsidRPr="00405707">
        <w:rPr>
          <w:rFonts w:ascii="Times New Roman" w:hAnsi="Times New Roman"/>
          <w:sz w:val="28"/>
          <w:szCs w:val="28"/>
          <w:lang w:val="en-US"/>
        </w:rPr>
        <w:t xml:space="preserve">, </w:t>
      </w:r>
      <w:r w:rsidRPr="00405707">
        <w:rPr>
          <w:rFonts w:ascii="Times New Roman" w:hAnsi="Times New Roman"/>
          <w:i/>
          <w:iCs/>
          <w:sz w:val="28"/>
          <w:szCs w:val="28"/>
          <w:lang w:val="en-US"/>
        </w:rPr>
        <w:t>8</w:t>
      </w:r>
      <w:r w:rsidRPr="00405707">
        <w:rPr>
          <w:rFonts w:ascii="Times New Roman" w:hAnsi="Times New Roman"/>
          <w:sz w:val="28"/>
          <w:szCs w:val="28"/>
          <w:lang w:val="en-US"/>
        </w:rPr>
        <w:t>(1), 23–49.</w:t>
      </w:r>
    </w:p>
    <w:p w14:paraId="092AF5B7"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Jacobs, L. (2019). Relationality and relational process in Gestalt therapy. In </w:t>
      </w:r>
      <w:r w:rsidRPr="00405707">
        <w:rPr>
          <w:rFonts w:ascii="Times New Roman" w:hAnsi="Times New Roman"/>
          <w:i/>
          <w:iCs/>
          <w:sz w:val="28"/>
          <w:szCs w:val="28"/>
          <w:lang w:val="en-US"/>
        </w:rPr>
        <w:t>Handbook for Theory, Research and Practice and Gestalt Therapy (2nd Edition)</w:t>
      </w:r>
      <w:r w:rsidRPr="00405707">
        <w:rPr>
          <w:rFonts w:ascii="Times New Roman" w:hAnsi="Times New Roman"/>
          <w:sz w:val="28"/>
          <w:szCs w:val="28"/>
          <w:lang w:val="en-US"/>
        </w:rPr>
        <w:t xml:space="preserve"> (2nd ed., pp. 203–219). Cambridge Scholars Publishing.</w:t>
      </w:r>
    </w:p>
    <w:p w14:paraId="50212C7F" w14:textId="77777777" w:rsidR="00F16E6F" w:rsidRPr="00405707" w:rsidRDefault="00F16E6F" w:rsidP="00405707">
      <w:pPr>
        <w:pStyle w:val="Bibliography"/>
        <w:rPr>
          <w:rFonts w:ascii="Times New Roman" w:hAnsi="Times New Roman"/>
          <w:sz w:val="28"/>
          <w:szCs w:val="28"/>
          <w:lang w:val="en-US"/>
        </w:rPr>
      </w:pPr>
      <w:proofErr w:type="spellStart"/>
      <w:r w:rsidRPr="00405707">
        <w:rPr>
          <w:rFonts w:ascii="Times New Roman" w:hAnsi="Times New Roman"/>
          <w:sz w:val="28"/>
          <w:szCs w:val="28"/>
          <w:lang w:val="en-US"/>
        </w:rPr>
        <w:t>Landes</w:t>
      </w:r>
      <w:proofErr w:type="spellEnd"/>
      <w:r w:rsidRPr="00405707">
        <w:rPr>
          <w:rFonts w:ascii="Times New Roman" w:hAnsi="Times New Roman"/>
          <w:sz w:val="28"/>
          <w:szCs w:val="28"/>
          <w:lang w:val="en-US"/>
        </w:rPr>
        <w:t xml:space="preserve">, D. A. (2013). </w:t>
      </w:r>
      <w:r w:rsidRPr="00405707">
        <w:rPr>
          <w:rFonts w:ascii="Times New Roman" w:hAnsi="Times New Roman"/>
          <w:i/>
          <w:iCs/>
          <w:sz w:val="28"/>
          <w:szCs w:val="28"/>
          <w:lang w:val="en-US"/>
        </w:rPr>
        <w:t>The Merleau-Ponty dictionary</w:t>
      </w:r>
      <w:r w:rsidRPr="00405707">
        <w:rPr>
          <w:rFonts w:ascii="Times New Roman" w:hAnsi="Times New Roman"/>
          <w:sz w:val="28"/>
          <w:szCs w:val="28"/>
          <w:lang w:val="en-US"/>
        </w:rPr>
        <w:t>. Bloomsbury.</w:t>
      </w:r>
    </w:p>
    <w:p w14:paraId="23B4D4C3"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Luft, S. (2011). Facticity and Historicity as Constituents of the Lifeworld in Husserl’s Late Philosophy. In </w:t>
      </w:r>
      <w:r w:rsidRPr="00405707">
        <w:rPr>
          <w:rFonts w:ascii="Times New Roman" w:hAnsi="Times New Roman"/>
          <w:i/>
          <w:iCs/>
          <w:sz w:val="28"/>
          <w:szCs w:val="28"/>
          <w:lang w:val="en-US"/>
        </w:rPr>
        <w:t>Subjectivity and Lifeworld in Transcendental Phenomenology</w:t>
      </w:r>
      <w:r w:rsidRPr="00405707">
        <w:rPr>
          <w:rFonts w:ascii="Times New Roman" w:hAnsi="Times New Roman"/>
          <w:sz w:val="28"/>
          <w:szCs w:val="28"/>
          <w:lang w:val="en-US"/>
        </w:rPr>
        <w:t xml:space="preserve"> (pp. 103–125). Northwest University Press.</w:t>
      </w:r>
    </w:p>
    <w:p w14:paraId="6B530166" w14:textId="77777777" w:rsidR="00F16E6F" w:rsidRPr="00405707" w:rsidRDefault="00F16E6F" w:rsidP="00405707">
      <w:pPr>
        <w:spacing w:line="240" w:lineRule="auto"/>
        <w:rPr>
          <w:rFonts w:ascii="Times New Roman" w:hAnsi="Times New Roman" w:cs="Times New Roman"/>
          <w:sz w:val="28"/>
          <w:szCs w:val="28"/>
        </w:rPr>
      </w:pPr>
    </w:p>
    <w:p w14:paraId="6A69879C"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Merleau-Ponty, M. (1968). </w:t>
      </w:r>
      <w:r w:rsidRPr="00405707">
        <w:rPr>
          <w:rFonts w:ascii="Times New Roman" w:hAnsi="Times New Roman"/>
          <w:i/>
          <w:iCs/>
          <w:sz w:val="28"/>
          <w:szCs w:val="28"/>
          <w:lang w:val="en-US"/>
        </w:rPr>
        <w:t>The visible and the invisible: followed by working notes</w:t>
      </w:r>
      <w:r w:rsidRPr="00405707">
        <w:rPr>
          <w:rFonts w:ascii="Times New Roman" w:hAnsi="Times New Roman"/>
          <w:sz w:val="28"/>
          <w:szCs w:val="28"/>
          <w:lang w:val="en-US"/>
        </w:rPr>
        <w:t>. Northwestern University Press.</w:t>
      </w:r>
    </w:p>
    <w:p w14:paraId="6D8458B1"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Moran, D., &amp; Cohen, J. D. (2012). </w:t>
      </w:r>
      <w:r w:rsidRPr="00405707">
        <w:rPr>
          <w:rFonts w:ascii="Times New Roman" w:hAnsi="Times New Roman"/>
          <w:i/>
          <w:iCs/>
          <w:sz w:val="28"/>
          <w:szCs w:val="28"/>
          <w:lang w:val="en-US"/>
        </w:rPr>
        <w:t xml:space="preserve">The Husserl </w:t>
      </w:r>
      <w:proofErr w:type="gramStart"/>
      <w:r w:rsidRPr="00405707">
        <w:rPr>
          <w:rFonts w:ascii="Times New Roman" w:hAnsi="Times New Roman"/>
          <w:i/>
          <w:iCs/>
          <w:sz w:val="28"/>
          <w:szCs w:val="28"/>
          <w:lang w:val="en-US"/>
        </w:rPr>
        <w:t>dictionary</w:t>
      </w:r>
      <w:proofErr w:type="gramEnd"/>
      <w:r w:rsidRPr="00405707">
        <w:rPr>
          <w:rFonts w:ascii="Times New Roman" w:hAnsi="Times New Roman"/>
          <w:sz w:val="28"/>
          <w:szCs w:val="28"/>
          <w:lang w:val="en-US"/>
        </w:rPr>
        <w:t>. Continuum.</w:t>
      </w:r>
    </w:p>
    <w:p w14:paraId="094B6328"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Orange, D. M. (2011). </w:t>
      </w:r>
      <w:r w:rsidRPr="00405707">
        <w:rPr>
          <w:rFonts w:ascii="Times New Roman" w:hAnsi="Times New Roman"/>
          <w:i/>
          <w:iCs/>
          <w:sz w:val="28"/>
          <w:szCs w:val="28"/>
          <w:lang w:val="en-US"/>
        </w:rPr>
        <w:t>The suffering stranger: Hermeneutics for everyday clinical practice</w:t>
      </w:r>
      <w:r w:rsidRPr="00405707">
        <w:rPr>
          <w:rFonts w:ascii="Times New Roman" w:hAnsi="Times New Roman"/>
          <w:sz w:val="28"/>
          <w:szCs w:val="28"/>
          <w:lang w:val="en-US"/>
        </w:rPr>
        <w:t>. Routledge/Taylor &amp; Francis Group.</w:t>
      </w:r>
    </w:p>
    <w:p w14:paraId="2C27BBE4" w14:textId="77777777" w:rsidR="00F16E6F" w:rsidRPr="00405707" w:rsidRDefault="00F16E6F" w:rsidP="00405707">
      <w:pPr>
        <w:pStyle w:val="Bibliography"/>
        <w:rPr>
          <w:rFonts w:ascii="Times New Roman" w:hAnsi="Times New Roman"/>
          <w:sz w:val="28"/>
          <w:szCs w:val="28"/>
        </w:rPr>
      </w:pPr>
      <w:r w:rsidRPr="00405707">
        <w:rPr>
          <w:rFonts w:ascii="Times New Roman" w:hAnsi="Times New Roman"/>
          <w:sz w:val="28"/>
          <w:szCs w:val="28"/>
          <w:lang w:val="en-US"/>
        </w:rPr>
        <w:t xml:space="preserve">Orange, D. M. (2018). My </w:t>
      </w:r>
      <w:proofErr w:type="gramStart"/>
      <w:r w:rsidRPr="00405707">
        <w:rPr>
          <w:rFonts w:ascii="Times New Roman" w:hAnsi="Times New Roman"/>
          <w:sz w:val="28"/>
          <w:szCs w:val="28"/>
          <w:lang w:val="en-US"/>
        </w:rPr>
        <w:t>Other’s</w:t>
      </w:r>
      <w:proofErr w:type="gramEnd"/>
      <w:r w:rsidRPr="00405707">
        <w:rPr>
          <w:rFonts w:ascii="Times New Roman" w:hAnsi="Times New Roman"/>
          <w:sz w:val="28"/>
          <w:szCs w:val="28"/>
          <w:lang w:val="en-US"/>
        </w:rPr>
        <w:t xml:space="preserve"> keeper: resources for the ethical turn in psychotherapy. In Margherita Spagnuolo Lobb (Ed.), </w:t>
      </w:r>
      <w:r w:rsidRPr="00405707">
        <w:rPr>
          <w:rFonts w:ascii="Times New Roman" w:hAnsi="Times New Roman"/>
          <w:i/>
          <w:iCs/>
          <w:sz w:val="28"/>
          <w:szCs w:val="28"/>
          <w:lang w:val="en-US"/>
        </w:rPr>
        <w:t>The Aesthetic of Otherness, meeting at the boundary in a desensitized world</w:t>
      </w:r>
      <w:r w:rsidRPr="00405707">
        <w:rPr>
          <w:rFonts w:ascii="Times New Roman" w:hAnsi="Times New Roman"/>
          <w:sz w:val="28"/>
          <w:szCs w:val="28"/>
          <w:lang w:val="en-US"/>
        </w:rPr>
        <w:t xml:space="preserve"> (pp. 19–32). </w:t>
      </w:r>
      <w:r w:rsidRPr="00405707">
        <w:rPr>
          <w:rFonts w:ascii="Times New Roman" w:hAnsi="Times New Roman"/>
          <w:sz w:val="28"/>
          <w:szCs w:val="28"/>
        </w:rPr>
        <w:t xml:space="preserve">Istituto di Gestalt HCCC </w:t>
      </w:r>
      <w:proofErr w:type="spellStart"/>
      <w:r w:rsidRPr="00405707">
        <w:rPr>
          <w:rFonts w:ascii="Times New Roman" w:hAnsi="Times New Roman"/>
          <w:sz w:val="28"/>
          <w:szCs w:val="28"/>
        </w:rPr>
        <w:t>Italy</w:t>
      </w:r>
      <w:proofErr w:type="spellEnd"/>
      <w:r w:rsidRPr="00405707">
        <w:rPr>
          <w:rFonts w:ascii="Times New Roman" w:hAnsi="Times New Roman"/>
          <w:sz w:val="28"/>
          <w:szCs w:val="28"/>
        </w:rPr>
        <w:t>.</w:t>
      </w:r>
    </w:p>
    <w:p w14:paraId="0B5FE2D0"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rPr>
        <w:lastRenderedPageBreak/>
        <w:t xml:space="preserve">Perls, F., Hefferline, R., Hefferline, R., &amp; Goodman, P. (1951). </w:t>
      </w:r>
      <w:r w:rsidRPr="00405707">
        <w:rPr>
          <w:rFonts w:ascii="Times New Roman" w:hAnsi="Times New Roman"/>
          <w:i/>
          <w:iCs/>
          <w:sz w:val="28"/>
          <w:szCs w:val="28"/>
          <w:lang w:val="en-US"/>
        </w:rPr>
        <w:t>Gestalt therapy: Excitement and growth in the human personality</w:t>
      </w:r>
      <w:r w:rsidRPr="00405707">
        <w:rPr>
          <w:rFonts w:ascii="Times New Roman" w:hAnsi="Times New Roman"/>
          <w:sz w:val="28"/>
          <w:szCs w:val="28"/>
          <w:lang w:val="en-US"/>
        </w:rPr>
        <w:t>. Julian Press.</w:t>
      </w:r>
    </w:p>
    <w:p w14:paraId="788CF5E3"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Philippson, P. (2009). </w:t>
      </w:r>
      <w:r w:rsidRPr="00405707">
        <w:rPr>
          <w:rFonts w:ascii="Times New Roman" w:hAnsi="Times New Roman"/>
          <w:i/>
          <w:iCs/>
          <w:sz w:val="28"/>
          <w:szCs w:val="28"/>
          <w:lang w:val="en-US"/>
        </w:rPr>
        <w:t>The Emergent self</w:t>
      </w:r>
      <w:r w:rsidRPr="00405707">
        <w:rPr>
          <w:rFonts w:ascii="Times New Roman" w:hAnsi="Times New Roman"/>
          <w:sz w:val="28"/>
          <w:szCs w:val="28"/>
          <w:lang w:val="en-US"/>
        </w:rPr>
        <w:t xml:space="preserve">. </w:t>
      </w:r>
      <w:proofErr w:type="spellStart"/>
      <w:r w:rsidRPr="00405707">
        <w:rPr>
          <w:rFonts w:ascii="Times New Roman" w:hAnsi="Times New Roman"/>
          <w:sz w:val="28"/>
          <w:szCs w:val="28"/>
          <w:lang w:val="en-US"/>
        </w:rPr>
        <w:t>Karnac</w:t>
      </w:r>
      <w:proofErr w:type="spellEnd"/>
      <w:r w:rsidRPr="00405707">
        <w:rPr>
          <w:rFonts w:ascii="Times New Roman" w:hAnsi="Times New Roman"/>
          <w:sz w:val="28"/>
          <w:szCs w:val="28"/>
          <w:lang w:val="en-US"/>
        </w:rPr>
        <w:t xml:space="preserve"> Books.</w:t>
      </w:r>
    </w:p>
    <w:p w14:paraId="52C20BBC"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Ratcliffe, M. (2015). </w:t>
      </w:r>
      <w:r w:rsidRPr="00405707">
        <w:rPr>
          <w:rFonts w:ascii="Times New Roman" w:hAnsi="Times New Roman"/>
          <w:i/>
          <w:iCs/>
          <w:sz w:val="28"/>
          <w:szCs w:val="28"/>
          <w:lang w:val="en-US"/>
        </w:rPr>
        <w:t>Experiences of depression: A study in phenomenology</w:t>
      </w:r>
      <w:r w:rsidRPr="00405707">
        <w:rPr>
          <w:rFonts w:ascii="Times New Roman" w:hAnsi="Times New Roman"/>
          <w:sz w:val="28"/>
          <w:szCs w:val="28"/>
          <w:lang w:val="en-US"/>
        </w:rPr>
        <w:t xml:space="preserve"> (First edition). Oxford University Press.</w:t>
      </w:r>
    </w:p>
    <w:p w14:paraId="79491850" w14:textId="77777777" w:rsidR="00F16E6F" w:rsidRPr="00405707" w:rsidRDefault="00F16E6F" w:rsidP="00405707">
      <w:pPr>
        <w:pStyle w:val="NormalWeb"/>
        <w:rPr>
          <w:sz w:val="28"/>
          <w:szCs w:val="28"/>
        </w:rPr>
      </w:pPr>
      <w:r w:rsidRPr="00405707">
        <w:rPr>
          <w:sz w:val="28"/>
          <w:szCs w:val="28"/>
        </w:rPr>
        <w:t xml:space="preserve">Robine, J-M, (2011) From field to situation. On </w:t>
      </w:r>
      <w:proofErr w:type="spellStart"/>
      <w:r w:rsidRPr="00405707">
        <w:rPr>
          <w:i/>
          <w:iCs/>
          <w:sz w:val="28"/>
          <w:szCs w:val="28"/>
        </w:rPr>
        <w:t>On</w:t>
      </w:r>
      <w:proofErr w:type="spellEnd"/>
      <w:r w:rsidRPr="00405707">
        <w:rPr>
          <w:i/>
          <w:iCs/>
          <w:sz w:val="28"/>
          <w:szCs w:val="28"/>
        </w:rPr>
        <w:t xml:space="preserve"> the Occasion of the Other</w:t>
      </w:r>
      <w:r w:rsidRPr="00405707">
        <w:rPr>
          <w:sz w:val="28"/>
          <w:szCs w:val="28"/>
        </w:rPr>
        <w:t xml:space="preserve">. Gestalt Journal Press: Gouldsboro: Me, pp. 103—121. </w:t>
      </w:r>
    </w:p>
    <w:p w14:paraId="0436C049" w14:textId="77777777" w:rsidR="00F16E6F" w:rsidRPr="00405707" w:rsidRDefault="00F16E6F" w:rsidP="00405707">
      <w:pPr>
        <w:spacing w:line="240" w:lineRule="auto"/>
        <w:ind w:left="810" w:hanging="666"/>
        <w:rPr>
          <w:rFonts w:ascii="Times New Roman" w:hAnsi="Times New Roman" w:cs="Times New Roman"/>
          <w:i/>
          <w:iCs/>
          <w:sz w:val="28"/>
          <w:szCs w:val="28"/>
        </w:rPr>
      </w:pPr>
      <w:r w:rsidRPr="00405707">
        <w:rPr>
          <w:rFonts w:ascii="Times New Roman" w:hAnsi="Times New Roman" w:cs="Times New Roman"/>
          <w:sz w:val="28"/>
          <w:szCs w:val="28"/>
        </w:rPr>
        <w:t xml:space="preserve">Robine, J.-M. (2015). Contact at the source of experience. In </w:t>
      </w:r>
      <w:r w:rsidRPr="00405707">
        <w:rPr>
          <w:rFonts w:ascii="Times New Roman" w:hAnsi="Times New Roman" w:cs="Times New Roman"/>
          <w:i/>
          <w:iCs/>
          <w:sz w:val="28"/>
          <w:szCs w:val="28"/>
        </w:rPr>
        <w:t xml:space="preserve">Social </w:t>
      </w:r>
      <w:proofErr w:type="gramStart"/>
      <w:r w:rsidRPr="00405707">
        <w:rPr>
          <w:rFonts w:ascii="Times New Roman" w:hAnsi="Times New Roman" w:cs="Times New Roman"/>
          <w:i/>
          <w:iCs/>
          <w:sz w:val="28"/>
          <w:szCs w:val="28"/>
        </w:rPr>
        <w:t>Change  Begins</w:t>
      </w:r>
      <w:proofErr w:type="gramEnd"/>
      <w:r w:rsidRPr="00405707">
        <w:rPr>
          <w:rFonts w:ascii="Times New Roman" w:hAnsi="Times New Roman" w:cs="Times New Roman"/>
          <w:i/>
          <w:iCs/>
          <w:sz w:val="28"/>
          <w:szCs w:val="28"/>
        </w:rPr>
        <w:t xml:space="preserve"> With Two</w:t>
      </w:r>
      <w:r w:rsidRPr="00405707">
        <w:rPr>
          <w:rFonts w:ascii="Times New Roman" w:hAnsi="Times New Roman" w:cs="Times New Roman"/>
          <w:sz w:val="28"/>
          <w:szCs w:val="28"/>
        </w:rPr>
        <w:t xml:space="preserve"> (pp. 59–68). Istituto di Gestalt HCCC Italy</w:t>
      </w:r>
    </w:p>
    <w:p w14:paraId="437B5084" w14:textId="77777777" w:rsidR="00F16E6F" w:rsidRPr="00405707" w:rsidRDefault="00F16E6F" w:rsidP="00405707">
      <w:pPr>
        <w:pStyle w:val="Bibliography"/>
        <w:rPr>
          <w:rFonts w:ascii="Times New Roman" w:hAnsi="Times New Roman"/>
          <w:sz w:val="28"/>
          <w:szCs w:val="28"/>
          <w:lang w:val="en-US"/>
        </w:rPr>
      </w:pPr>
      <w:proofErr w:type="spellStart"/>
      <w:r w:rsidRPr="00405707">
        <w:rPr>
          <w:rFonts w:ascii="Times New Roman" w:hAnsi="Times New Roman"/>
          <w:sz w:val="28"/>
          <w:szCs w:val="28"/>
          <w:lang w:val="en-US"/>
        </w:rPr>
        <w:t>Schalow</w:t>
      </w:r>
      <w:proofErr w:type="spellEnd"/>
      <w:r w:rsidRPr="00405707">
        <w:rPr>
          <w:rFonts w:ascii="Times New Roman" w:hAnsi="Times New Roman"/>
          <w:sz w:val="28"/>
          <w:szCs w:val="28"/>
          <w:lang w:val="en-US"/>
        </w:rPr>
        <w:t xml:space="preserve">, F., &amp; </w:t>
      </w:r>
      <w:proofErr w:type="spellStart"/>
      <w:r w:rsidRPr="00405707">
        <w:rPr>
          <w:rFonts w:ascii="Times New Roman" w:hAnsi="Times New Roman"/>
          <w:sz w:val="28"/>
          <w:szCs w:val="28"/>
          <w:lang w:val="en-US"/>
        </w:rPr>
        <w:t>Denker</w:t>
      </w:r>
      <w:proofErr w:type="spellEnd"/>
      <w:r w:rsidRPr="00405707">
        <w:rPr>
          <w:rFonts w:ascii="Times New Roman" w:hAnsi="Times New Roman"/>
          <w:sz w:val="28"/>
          <w:szCs w:val="28"/>
          <w:lang w:val="en-US"/>
        </w:rPr>
        <w:t xml:space="preserve">, A. (2010). </w:t>
      </w:r>
      <w:r w:rsidRPr="00405707">
        <w:rPr>
          <w:rFonts w:ascii="Times New Roman" w:hAnsi="Times New Roman"/>
          <w:i/>
          <w:iCs/>
          <w:sz w:val="28"/>
          <w:szCs w:val="28"/>
          <w:lang w:val="en-US"/>
        </w:rPr>
        <w:t>Historical dictionary of Heidegger’s philosophy</w:t>
      </w:r>
      <w:r w:rsidRPr="00405707">
        <w:rPr>
          <w:rFonts w:ascii="Times New Roman" w:hAnsi="Times New Roman"/>
          <w:sz w:val="28"/>
          <w:szCs w:val="28"/>
          <w:lang w:val="en-US"/>
        </w:rPr>
        <w:t xml:space="preserve"> (2nd ed). Scarecrow Press.</w:t>
      </w:r>
    </w:p>
    <w:p w14:paraId="6CCCA0EE" w14:textId="77777777" w:rsidR="00F16E6F" w:rsidRPr="00405707" w:rsidRDefault="00F16E6F" w:rsidP="00405707">
      <w:pPr>
        <w:spacing w:line="240" w:lineRule="auto"/>
        <w:rPr>
          <w:rFonts w:ascii="Times New Roman" w:hAnsi="Times New Roman" w:cs="Times New Roman"/>
          <w:sz w:val="28"/>
          <w:szCs w:val="28"/>
        </w:rPr>
      </w:pPr>
    </w:p>
    <w:p w14:paraId="0146C785" w14:textId="77777777" w:rsidR="00F16E6F" w:rsidRPr="00405707" w:rsidRDefault="00F16E6F" w:rsidP="00405707">
      <w:pPr>
        <w:spacing w:line="240" w:lineRule="auto"/>
        <w:rPr>
          <w:rFonts w:ascii="Times New Roman" w:hAnsi="Times New Roman" w:cs="Times New Roman"/>
          <w:sz w:val="28"/>
          <w:szCs w:val="28"/>
        </w:rPr>
      </w:pPr>
    </w:p>
    <w:p w14:paraId="1360F2F0"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Spagnuolo Lobb, M, &amp; Amendt-Lyon, N. (2003). </w:t>
      </w:r>
      <w:r w:rsidRPr="00405707">
        <w:rPr>
          <w:rFonts w:ascii="Times New Roman" w:hAnsi="Times New Roman"/>
          <w:i/>
          <w:iCs/>
          <w:sz w:val="28"/>
          <w:szCs w:val="28"/>
          <w:lang w:val="en-US"/>
        </w:rPr>
        <w:t>Creative license: The art of Gestalt therapy</w:t>
      </w:r>
      <w:r w:rsidRPr="00405707">
        <w:rPr>
          <w:rFonts w:ascii="Times New Roman" w:hAnsi="Times New Roman"/>
          <w:sz w:val="28"/>
          <w:szCs w:val="28"/>
          <w:lang w:val="en-US"/>
        </w:rPr>
        <w:t>. Wien/New York: Springer-Verlag.</w:t>
      </w:r>
    </w:p>
    <w:p w14:paraId="0954AED1"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Spagnuolo Lobb, M. (2014). </w:t>
      </w:r>
      <w:r w:rsidRPr="00405707">
        <w:rPr>
          <w:rFonts w:ascii="Times New Roman" w:hAnsi="Times New Roman"/>
          <w:i/>
          <w:iCs/>
          <w:sz w:val="28"/>
          <w:szCs w:val="28"/>
          <w:lang w:val="en-US"/>
        </w:rPr>
        <w:t>The now-for-next in psychotherapy: Gestalt therapy recounted in post-modern society.</w:t>
      </w:r>
      <w:r w:rsidRPr="00405707">
        <w:rPr>
          <w:rFonts w:ascii="Times New Roman" w:hAnsi="Times New Roman"/>
          <w:sz w:val="28"/>
          <w:szCs w:val="28"/>
          <w:lang w:val="en-US"/>
        </w:rPr>
        <w:t xml:space="preserve"> Istituto di Gestalt HCCC Italy.</w:t>
      </w:r>
    </w:p>
    <w:p w14:paraId="10C34DCD"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Spagnuolo Lobb, M. (2017). From losses of ego functions to the dance steps between psychotherapist and client. Phenomenology and aesthetics of contact in the psychotherapeutic field. </w:t>
      </w:r>
      <w:r w:rsidRPr="00405707">
        <w:rPr>
          <w:rFonts w:ascii="Times New Roman" w:hAnsi="Times New Roman"/>
          <w:i/>
          <w:iCs/>
          <w:sz w:val="28"/>
          <w:szCs w:val="28"/>
          <w:lang w:val="en-US"/>
        </w:rPr>
        <w:t>British Gestalt Journal</w:t>
      </w:r>
      <w:r w:rsidRPr="00405707">
        <w:rPr>
          <w:rFonts w:ascii="Times New Roman" w:hAnsi="Times New Roman"/>
          <w:sz w:val="28"/>
          <w:szCs w:val="28"/>
          <w:lang w:val="en-US"/>
        </w:rPr>
        <w:t xml:space="preserve">, </w:t>
      </w:r>
      <w:r w:rsidRPr="00405707">
        <w:rPr>
          <w:rFonts w:ascii="Times New Roman" w:hAnsi="Times New Roman"/>
          <w:i/>
          <w:iCs/>
          <w:sz w:val="28"/>
          <w:szCs w:val="28"/>
          <w:lang w:val="en-US"/>
        </w:rPr>
        <w:t>26</w:t>
      </w:r>
      <w:r w:rsidRPr="00405707">
        <w:rPr>
          <w:rFonts w:ascii="Times New Roman" w:hAnsi="Times New Roman"/>
          <w:sz w:val="28"/>
          <w:szCs w:val="28"/>
          <w:lang w:val="en-US"/>
        </w:rPr>
        <w:t>(1), 28–37.</w:t>
      </w:r>
    </w:p>
    <w:p w14:paraId="2F8C6057"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Spagnuolo Lobb, M. (2018). Aesthetic relational knowledge of the field: A revised concept of awareness in Gestalt therapy and contemporary Psychiatry. </w:t>
      </w:r>
      <w:r w:rsidRPr="00405707">
        <w:rPr>
          <w:rFonts w:ascii="Times New Roman" w:hAnsi="Times New Roman"/>
          <w:i/>
          <w:iCs/>
          <w:sz w:val="28"/>
          <w:szCs w:val="28"/>
          <w:lang w:val="en-US"/>
        </w:rPr>
        <w:t>Gestalt Review</w:t>
      </w:r>
      <w:r w:rsidRPr="00405707">
        <w:rPr>
          <w:rFonts w:ascii="Times New Roman" w:hAnsi="Times New Roman"/>
          <w:sz w:val="28"/>
          <w:szCs w:val="28"/>
          <w:lang w:val="en-US"/>
        </w:rPr>
        <w:t xml:space="preserve">, </w:t>
      </w:r>
      <w:r w:rsidRPr="00405707">
        <w:rPr>
          <w:rFonts w:ascii="Times New Roman" w:hAnsi="Times New Roman"/>
          <w:i/>
          <w:iCs/>
          <w:sz w:val="28"/>
          <w:szCs w:val="28"/>
          <w:lang w:val="en-US"/>
        </w:rPr>
        <w:t>22</w:t>
      </w:r>
      <w:r w:rsidRPr="00405707">
        <w:rPr>
          <w:rFonts w:ascii="Times New Roman" w:hAnsi="Times New Roman"/>
          <w:sz w:val="28"/>
          <w:szCs w:val="28"/>
          <w:lang w:val="en-US"/>
        </w:rPr>
        <w:t>(1), 50–68.</w:t>
      </w:r>
    </w:p>
    <w:p w14:paraId="3758C7E7"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Staemmler, F. (2000). Like a fish in water: Gestalt therapy in times of uncertainty. </w:t>
      </w:r>
      <w:r w:rsidRPr="00405707">
        <w:rPr>
          <w:rFonts w:ascii="Times New Roman" w:hAnsi="Times New Roman"/>
          <w:i/>
          <w:iCs/>
          <w:sz w:val="28"/>
          <w:szCs w:val="28"/>
          <w:lang w:val="en-US"/>
        </w:rPr>
        <w:t>Gestalt Review</w:t>
      </w:r>
      <w:r w:rsidRPr="00405707">
        <w:rPr>
          <w:rFonts w:ascii="Times New Roman" w:hAnsi="Times New Roman"/>
          <w:sz w:val="28"/>
          <w:szCs w:val="28"/>
          <w:lang w:val="en-US"/>
        </w:rPr>
        <w:t xml:space="preserve">, </w:t>
      </w:r>
      <w:r w:rsidRPr="00405707">
        <w:rPr>
          <w:rFonts w:ascii="Times New Roman" w:hAnsi="Times New Roman"/>
          <w:i/>
          <w:iCs/>
          <w:sz w:val="28"/>
          <w:szCs w:val="28"/>
          <w:lang w:val="en-US"/>
        </w:rPr>
        <w:t>4</w:t>
      </w:r>
      <w:r w:rsidRPr="00405707">
        <w:rPr>
          <w:rFonts w:ascii="Times New Roman" w:hAnsi="Times New Roman"/>
          <w:sz w:val="28"/>
          <w:szCs w:val="28"/>
          <w:lang w:val="en-US"/>
        </w:rPr>
        <w:t>(3), 205–218.</w:t>
      </w:r>
    </w:p>
    <w:p w14:paraId="63F9C664"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Waldenfels, B. (1996). </w:t>
      </w:r>
      <w:r w:rsidRPr="00405707">
        <w:rPr>
          <w:rFonts w:ascii="Times New Roman" w:hAnsi="Times New Roman"/>
          <w:i/>
          <w:iCs/>
          <w:sz w:val="28"/>
          <w:szCs w:val="28"/>
          <w:lang w:val="en-US"/>
        </w:rPr>
        <w:t>Order in the twilight</w:t>
      </w:r>
      <w:r w:rsidRPr="00405707">
        <w:rPr>
          <w:rFonts w:ascii="Times New Roman" w:hAnsi="Times New Roman"/>
          <w:sz w:val="28"/>
          <w:szCs w:val="28"/>
          <w:lang w:val="en-US"/>
        </w:rPr>
        <w:t>. Ohio University Press.</w:t>
      </w:r>
    </w:p>
    <w:p w14:paraId="003CC7D8"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Waldenfels, B. (2003). From intentionality to responsivity. In </w:t>
      </w:r>
      <w:r w:rsidRPr="00405707">
        <w:rPr>
          <w:rFonts w:ascii="Times New Roman" w:hAnsi="Times New Roman"/>
          <w:i/>
          <w:iCs/>
          <w:sz w:val="28"/>
          <w:szCs w:val="28"/>
          <w:lang w:val="en-US"/>
        </w:rPr>
        <w:t>Phenomenology Today: The Schuwer SPEP Lectures,1998-2002</w:t>
      </w:r>
      <w:r w:rsidRPr="00405707">
        <w:rPr>
          <w:rFonts w:ascii="Times New Roman" w:hAnsi="Times New Roman"/>
          <w:sz w:val="28"/>
          <w:szCs w:val="28"/>
          <w:lang w:val="en-US"/>
        </w:rPr>
        <w:t xml:space="preserve"> (pp. 23–35). The Simon Silverman Phenomenology Center, Duquesne University.</w:t>
      </w:r>
    </w:p>
    <w:p w14:paraId="36CB50F5"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Waldenfels, B. (2011). </w:t>
      </w:r>
      <w:r w:rsidRPr="00405707">
        <w:rPr>
          <w:rFonts w:ascii="Times New Roman" w:hAnsi="Times New Roman"/>
          <w:i/>
          <w:iCs/>
          <w:sz w:val="28"/>
          <w:szCs w:val="28"/>
          <w:lang w:val="en-US"/>
        </w:rPr>
        <w:t>Phenomenology of the alien: Basic concepts</w:t>
      </w:r>
      <w:r w:rsidRPr="00405707">
        <w:rPr>
          <w:rFonts w:ascii="Times New Roman" w:hAnsi="Times New Roman"/>
          <w:sz w:val="28"/>
          <w:szCs w:val="28"/>
          <w:lang w:val="en-US"/>
        </w:rPr>
        <w:t>. Northwestern University Press.</w:t>
      </w:r>
    </w:p>
    <w:p w14:paraId="30ED9648"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Waldenfels, B. (2016). Responsive love. </w:t>
      </w:r>
      <w:proofErr w:type="spellStart"/>
      <w:r w:rsidRPr="00405707">
        <w:rPr>
          <w:rFonts w:ascii="Times New Roman" w:hAnsi="Times New Roman"/>
          <w:i/>
          <w:iCs/>
          <w:sz w:val="28"/>
          <w:szCs w:val="28"/>
          <w:lang w:val="en-US"/>
        </w:rPr>
        <w:t>Primerjalna</w:t>
      </w:r>
      <w:proofErr w:type="spellEnd"/>
      <w:r w:rsidRPr="00405707">
        <w:rPr>
          <w:rFonts w:ascii="Times New Roman" w:hAnsi="Times New Roman"/>
          <w:i/>
          <w:iCs/>
          <w:sz w:val="28"/>
          <w:szCs w:val="28"/>
          <w:lang w:val="en-US"/>
        </w:rPr>
        <w:t xml:space="preserve"> </w:t>
      </w:r>
      <w:proofErr w:type="spellStart"/>
      <w:r w:rsidRPr="00405707">
        <w:rPr>
          <w:rFonts w:ascii="Times New Roman" w:hAnsi="Times New Roman"/>
          <w:i/>
          <w:iCs/>
          <w:sz w:val="28"/>
          <w:szCs w:val="28"/>
          <w:lang w:val="en-US"/>
        </w:rPr>
        <w:t>Književnost</w:t>
      </w:r>
      <w:proofErr w:type="spellEnd"/>
      <w:r w:rsidRPr="00405707">
        <w:rPr>
          <w:rFonts w:ascii="Times New Roman" w:hAnsi="Times New Roman"/>
          <w:sz w:val="28"/>
          <w:szCs w:val="28"/>
          <w:lang w:val="en-US"/>
        </w:rPr>
        <w:t xml:space="preserve">, </w:t>
      </w:r>
      <w:r w:rsidRPr="00405707">
        <w:rPr>
          <w:rFonts w:ascii="Times New Roman" w:hAnsi="Times New Roman"/>
          <w:i/>
          <w:iCs/>
          <w:sz w:val="28"/>
          <w:szCs w:val="28"/>
          <w:lang w:val="en-US"/>
        </w:rPr>
        <w:t>39</w:t>
      </w:r>
      <w:r w:rsidRPr="00405707">
        <w:rPr>
          <w:rFonts w:ascii="Times New Roman" w:hAnsi="Times New Roman"/>
          <w:sz w:val="28"/>
          <w:szCs w:val="28"/>
          <w:lang w:val="en-US"/>
        </w:rPr>
        <w:t>(1), 15–29.</w:t>
      </w:r>
    </w:p>
    <w:p w14:paraId="25AB10C4"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Waldenfels, B. (2020). Responsivity and co-responsivity from a phenomenological view. </w:t>
      </w:r>
      <w:r w:rsidRPr="00405707">
        <w:rPr>
          <w:rFonts w:ascii="Times New Roman" w:hAnsi="Times New Roman"/>
          <w:i/>
          <w:iCs/>
          <w:sz w:val="28"/>
          <w:szCs w:val="28"/>
          <w:lang w:val="en-US"/>
        </w:rPr>
        <w:t xml:space="preserve">Studia </w:t>
      </w:r>
      <w:proofErr w:type="spellStart"/>
      <w:r w:rsidRPr="00405707">
        <w:rPr>
          <w:rFonts w:ascii="Times New Roman" w:hAnsi="Times New Roman"/>
          <w:i/>
          <w:iCs/>
          <w:sz w:val="28"/>
          <w:szCs w:val="28"/>
          <w:lang w:val="en-US"/>
        </w:rPr>
        <w:t>Phaenomenologica</w:t>
      </w:r>
      <w:proofErr w:type="spellEnd"/>
      <w:r w:rsidRPr="00405707">
        <w:rPr>
          <w:rFonts w:ascii="Times New Roman" w:hAnsi="Times New Roman"/>
          <w:sz w:val="28"/>
          <w:szCs w:val="28"/>
          <w:lang w:val="en-US"/>
        </w:rPr>
        <w:t xml:space="preserve">, </w:t>
      </w:r>
      <w:r w:rsidRPr="00405707">
        <w:rPr>
          <w:rFonts w:ascii="Times New Roman" w:hAnsi="Times New Roman"/>
          <w:i/>
          <w:iCs/>
          <w:sz w:val="28"/>
          <w:szCs w:val="28"/>
          <w:lang w:val="en-US"/>
        </w:rPr>
        <w:t>20</w:t>
      </w:r>
      <w:r w:rsidRPr="00405707">
        <w:rPr>
          <w:rFonts w:ascii="Times New Roman" w:hAnsi="Times New Roman"/>
          <w:sz w:val="28"/>
          <w:szCs w:val="28"/>
          <w:lang w:val="en-US"/>
        </w:rPr>
        <w:t>, 341–355.</w:t>
      </w:r>
    </w:p>
    <w:p w14:paraId="2EAEE30E" w14:textId="77777777" w:rsidR="00F16E6F" w:rsidRPr="00405707" w:rsidRDefault="00F16E6F" w:rsidP="00405707">
      <w:pPr>
        <w:pStyle w:val="Bibliography"/>
        <w:rPr>
          <w:rFonts w:ascii="Times New Roman" w:hAnsi="Times New Roman"/>
          <w:sz w:val="28"/>
          <w:szCs w:val="28"/>
          <w:lang w:val="en-US"/>
        </w:rPr>
      </w:pPr>
      <w:r w:rsidRPr="00405707">
        <w:rPr>
          <w:rFonts w:ascii="Times New Roman" w:hAnsi="Times New Roman"/>
          <w:sz w:val="28"/>
          <w:szCs w:val="28"/>
          <w:lang w:val="en-US"/>
        </w:rPr>
        <w:t xml:space="preserve">Yontef, G. (1993). </w:t>
      </w:r>
      <w:r w:rsidRPr="00405707">
        <w:rPr>
          <w:rFonts w:ascii="Times New Roman" w:hAnsi="Times New Roman"/>
          <w:i/>
          <w:iCs/>
          <w:sz w:val="28"/>
          <w:szCs w:val="28"/>
          <w:lang w:val="en-US"/>
        </w:rPr>
        <w:t>Awareness dialogue &amp; process --essays on Gestalt therapy</w:t>
      </w:r>
      <w:r w:rsidRPr="00405707">
        <w:rPr>
          <w:rFonts w:ascii="Times New Roman" w:hAnsi="Times New Roman"/>
          <w:sz w:val="28"/>
          <w:szCs w:val="28"/>
          <w:lang w:val="en-US"/>
        </w:rPr>
        <w:t>. The Gestalt Journal Press.</w:t>
      </w:r>
    </w:p>
    <w:p w14:paraId="06495E3D" w14:textId="77777777" w:rsidR="00F16E6F" w:rsidRPr="00405707" w:rsidRDefault="00F16E6F" w:rsidP="00405707">
      <w:pPr>
        <w:spacing w:line="240" w:lineRule="auto"/>
        <w:rPr>
          <w:rFonts w:ascii="Times New Roman" w:hAnsi="Times New Roman" w:cs="Times New Roman"/>
          <w:sz w:val="28"/>
          <w:szCs w:val="28"/>
        </w:rPr>
      </w:pPr>
    </w:p>
    <w:p w14:paraId="47B10EF2" w14:textId="77777777" w:rsidR="00F16E6F" w:rsidRPr="00405707" w:rsidRDefault="00F16E6F" w:rsidP="00405707">
      <w:pPr>
        <w:spacing w:line="240" w:lineRule="auto"/>
        <w:rPr>
          <w:rFonts w:ascii="Times New Roman" w:hAnsi="Times New Roman" w:cs="Times New Roman"/>
          <w:sz w:val="28"/>
          <w:szCs w:val="28"/>
        </w:rPr>
      </w:pPr>
    </w:p>
    <w:p w14:paraId="6E972A03" w14:textId="77777777" w:rsidR="00F16E6F" w:rsidRPr="00405707" w:rsidRDefault="00F16E6F" w:rsidP="00405707">
      <w:pPr>
        <w:spacing w:line="240" w:lineRule="auto"/>
        <w:rPr>
          <w:rFonts w:ascii="Times New Roman" w:hAnsi="Times New Roman" w:cs="Times New Roman"/>
          <w:sz w:val="28"/>
          <w:szCs w:val="28"/>
        </w:rPr>
      </w:pPr>
    </w:p>
    <w:p w14:paraId="69AF1356" w14:textId="77777777" w:rsidR="002A54BF" w:rsidRPr="00405707" w:rsidRDefault="00000000" w:rsidP="00405707">
      <w:pPr>
        <w:spacing w:line="240" w:lineRule="auto"/>
        <w:rPr>
          <w:rFonts w:ascii="Times New Roman" w:hAnsi="Times New Roman" w:cs="Times New Roman"/>
          <w:sz w:val="28"/>
          <w:szCs w:val="28"/>
        </w:rPr>
      </w:pPr>
    </w:p>
    <w:sectPr w:rsidR="002A54BF" w:rsidRPr="00405707" w:rsidSect="003337A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CB6EF" w14:textId="77777777" w:rsidR="00AE7D6F" w:rsidRDefault="00AE7D6F" w:rsidP="00F16E6F">
      <w:pPr>
        <w:spacing w:after="0" w:line="240" w:lineRule="auto"/>
      </w:pPr>
      <w:r>
        <w:separator/>
      </w:r>
    </w:p>
  </w:endnote>
  <w:endnote w:type="continuationSeparator" w:id="0">
    <w:p w14:paraId="7D11B866" w14:textId="77777777" w:rsidR="00AE7D6F" w:rsidRDefault="00AE7D6F" w:rsidP="00F16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Lucida Grande">
    <w:altName w:val="﷽﷽﷽﷽﷽﷽﷽﷽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45C14" w14:textId="77777777" w:rsidR="00AE7D6F" w:rsidRDefault="00AE7D6F" w:rsidP="00F16E6F">
      <w:pPr>
        <w:spacing w:after="0" w:line="240" w:lineRule="auto"/>
      </w:pPr>
      <w:r>
        <w:separator/>
      </w:r>
    </w:p>
  </w:footnote>
  <w:footnote w:type="continuationSeparator" w:id="0">
    <w:p w14:paraId="728AE845" w14:textId="77777777" w:rsidR="00AE7D6F" w:rsidRDefault="00AE7D6F" w:rsidP="00F16E6F">
      <w:pPr>
        <w:spacing w:after="0" w:line="240" w:lineRule="auto"/>
      </w:pPr>
      <w:r>
        <w:continuationSeparator/>
      </w:r>
    </w:p>
  </w:footnote>
  <w:footnote w:id="1">
    <w:p w14:paraId="38339599" w14:textId="77777777" w:rsidR="00F16E6F" w:rsidRDefault="00F16E6F" w:rsidP="00F16E6F">
      <w:pPr>
        <w:pStyle w:val="FootnoteText"/>
      </w:pPr>
      <w:r>
        <w:rPr>
          <w:rStyle w:val="FootnoteReference"/>
        </w:rPr>
        <w:footnoteRef/>
      </w:r>
      <w:r>
        <w:t xml:space="preserve"> </w:t>
      </w:r>
      <w:r>
        <w:rPr>
          <w:rFonts w:ascii="Arial" w:hAnsi="Arial" w:cs="Arial"/>
          <w:color w:val="222222"/>
          <w:shd w:val="clear" w:color="auto" w:fill="FFFFFF"/>
        </w:rPr>
        <w:t>…the ultimate task of phenomenology … is to understand its relationship to non-phenomenology. What resists phenomenology within us natural beings cannot remain outside phenomenology and should have its place within it. (Merleau-Ponty,1964, p. 178)</w:t>
      </w:r>
    </w:p>
  </w:footnote>
  <w:footnote w:id="2">
    <w:p w14:paraId="2DFEE6A0" w14:textId="77777777" w:rsidR="00F16E6F" w:rsidRDefault="00F16E6F" w:rsidP="00F16E6F">
      <w:pPr>
        <w:pStyle w:val="FootnoteText"/>
      </w:pPr>
      <w:r w:rsidRPr="00745167">
        <w:rPr>
          <w:rStyle w:val="FootnoteReference"/>
        </w:rPr>
        <w:footnoteRef/>
      </w:r>
      <w:r>
        <w:t xml:space="preserve"> See Francesetti and Roubal regarding </w:t>
      </w:r>
      <w:r w:rsidRPr="00DA5ABA">
        <w:rPr>
          <w:i/>
          <w:iCs/>
        </w:rPr>
        <w:t>atopon</w:t>
      </w:r>
      <w:r>
        <w:t xml:space="preserve"> as “out of place” in the experience of a pathological field.  </w:t>
      </w:r>
      <w:r>
        <w:rPr>
          <w:noProof/>
        </w:rPr>
        <w:t xml:space="preserve">(Francesetti &amp; Roubal, 2020 </w:t>
      </w:r>
      <w:r w:rsidRPr="00BB1270">
        <w:t xml:space="preserve">p </w:t>
      </w:r>
      <w:proofErr w:type="gramStart"/>
      <w:r w:rsidRPr="00BB1270">
        <w:t>1</w:t>
      </w:r>
      <w:r w:rsidRPr="00510954">
        <w:t>20</w:t>
      </w:r>
      <w:r>
        <w:rPr>
          <w:noProof/>
        </w:rPr>
        <w:t xml:space="preserve"> )</w:t>
      </w:r>
      <w:r w:rsidRPr="00510954">
        <w:t>They</w:t>
      </w:r>
      <w:proofErr w:type="gramEnd"/>
      <w:r>
        <w:t xml:space="preserve"> refer to this as if a stranger knocking at the door: something meaningless, strange, embarrassing and so on.  In my model, this would be something lurking at the contact-boundary, prior to contacting, and not taken up in the sequence of contacting itself. As such, it would remain an uncanny premonition from the past, as it were. </w:t>
      </w:r>
    </w:p>
  </w:footnote>
  <w:footnote w:id="3">
    <w:p w14:paraId="26E24C03" w14:textId="77777777" w:rsidR="00F16E6F" w:rsidRDefault="00F16E6F" w:rsidP="00F16E6F">
      <w:pPr>
        <w:pStyle w:val="FootnoteText"/>
      </w:pPr>
      <w:r w:rsidRPr="00745167">
        <w:rPr>
          <w:rStyle w:val="FootnoteReference"/>
        </w:rPr>
        <w:footnoteRef/>
      </w:r>
      <w:r>
        <w:t xml:space="preserve"> This is important. There is nothing diaphanous about the contact-boundary. Just as phenomenology is not idealism but a philosophy about being-in-the-world in its concreteness, experience emergent of the contact-boundary is of a whole, which can be looked at from a variety of perspectives.  This paper is from the perspective of the clinical phenomenology of gestalt therapy.</w:t>
      </w:r>
    </w:p>
  </w:footnote>
  <w:footnote w:id="4">
    <w:p w14:paraId="528AD84B" w14:textId="77777777" w:rsidR="00F16E6F" w:rsidRPr="005F1947" w:rsidRDefault="00F16E6F" w:rsidP="00F16E6F">
      <w:pPr>
        <w:pStyle w:val="FootnoteText"/>
      </w:pPr>
      <w:r w:rsidRPr="00745167">
        <w:rPr>
          <w:rStyle w:val="FootnoteReference"/>
        </w:rPr>
        <w:footnoteRef/>
      </w:r>
      <w:r>
        <w:t xml:space="preserve"> </w:t>
      </w:r>
      <w:r w:rsidRPr="005F1947">
        <w:t>Originally, intentionality was a function a transcendental subjectivity by which a</w:t>
      </w:r>
      <w:r>
        <w:t xml:space="preserve">m </w:t>
      </w:r>
      <w:r w:rsidRPr="005F1947">
        <w:t xml:space="preserve">I constituted its world. Now relational/responsive intentionality can be called a function of transcendental intersubjectivity, by which a world of intersubjectivity is constituted. </w:t>
      </w:r>
    </w:p>
    <w:p w14:paraId="3398A0D8" w14:textId="77777777" w:rsidR="00F16E6F" w:rsidRDefault="00F16E6F" w:rsidP="00F16E6F">
      <w:pPr>
        <w:pStyle w:val="FootnoteText"/>
      </w:pPr>
    </w:p>
  </w:footnote>
  <w:footnote w:id="5">
    <w:p w14:paraId="015F5205" w14:textId="77777777" w:rsidR="00F16E6F" w:rsidRDefault="00F16E6F" w:rsidP="00F16E6F">
      <w:pPr>
        <w:pStyle w:val="FootnoteText"/>
      </w:pPr>
      <w:r w:rsidRPr="00745167">
        <w:rPr>
          <w:rStyle w:val="FootnoteReference"/>
        </w:rPr>
        <w:footnoteRef/>
      </w:r>
      <w:r>
        <w:t xml:space="preserve"> This is a compressed clinical vignette. It also shows a gestalt phenomenological reduction involving the gestalt epoché and gestalt reduction explained in more detail elsewhere. </w:t>
      </w:r>
      <w:r>
        <w:rPr>
          <w:noProof/>
        </w:rPr>
        <w:t>(Bloom, 2019)</w:t>
      </w:r>
    </w:p>
  </w:footnote>
  <w:footnote w:id="6">
    <w:p w14:paraId="40DA2B3C" w14:textId="77777777" w:rsidR="00F16E6F" w:rsidRDefault="00F16E6F" w:rsidP="00F16E6F">
      <w:pPr>
        <w:pStyle w:val="FootnoteText"/>
      </w:pPr>
      <w:r w:rsidRPr="00745167">
        <w:rPr>
          <w:rStyle w:val="FootnoteReference"/>
        </w:rPr>
        <w:footnoteRef/>
      </w:r>
      <w:r>
        <w:t xml:space="preserve"> See Husserl and Merleau-Ponty</w:t>
      </w:r>
    </w:p>
  </w:footnote>
  <w:footnote w:id="7">
    <w:p w14:paraId="0CB97717" w14:textId="77777777" w:rsidR="00F16E6F" w:rsidRDefault="00F16E6F" w:rsidP="00F16E6F">
      <w:pPr>
        <w:pStyle w:val="FootnoteText"/>
      </w:pPr>
      <w:r>
        <w:rPr>
          <w:rStyle w:val="FootnoteReference"/>
        </w:rPr>
        <w:footnoteRef/>
      </w:r>
      <w:r>
        <w:t xml:space="preserve"> See </w:t>
      </w:r>
      <w:r>
        <w:rPr>
          <w:noProof/>
        </w:rPr>
        <w:t>(Spagnuolo Lobb, 2017)</w:t>
      </w:r>
      <w:r>
        <w:t xml:space="preserve"> for a discussion of the dance of therapy.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E6F"/>
    <w:rsid w:val="000C36B4"/>
    <w:rsid w:val="00167367"/>
    <w:rsid w:val="001F2629"/>
    <w:rsid w:val="002A3080"/>
    <w:rsid w:val="003337A2"/>
    <w:rsid w:val="003E24DF"/>
    <w:rsid w:val="00405707"/>
    <w:rsid w:val="00484145"/>
    <w:rsid w:val="005B413E"/>
    <w:rsid w:val="005F7A32"/>
    <w:rsid w:val="007126E0"/>
    <w:rsid w:val="00713307"/>
    <w:rsid w:val="00722B72"/>
    <w:rsid w:val="00757453"/>
    <w:rsid w:val="00787EB9"/>
    <w:rsid w:val="008440B1"/>
    <w:rsid w:val="008F3DF2"/>
    <w:rsid w:val="0098709F"/>
    <w:rsid w:val="009919B8"/>
    <w:rsid w:val="00AE7D6F"/>
    <w:rsid w:val="00BE27E0"/>
    <w:rsid w:val="00C0766D"/>
    <w:rsid w:val="00C07BF4"/>
    <w:rsid w:val="00C10241"/>
    <w:rsid w:val="00C911E9"/>
    <w:rsid w:val="00D4134F"/>
    <w:rsid w:val="00EA19CF"/>
    <w:rsid w:val="00EA6BA0"/>
    <w:rsid w:val="00F16E6F"/>
    <w:rsid w:val="00F20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CA862"/>
  <w14:defaultImageDpi w14:val="32767"/>
  <w15:chartTrackingRefBased/>
  <w15:docId w15:val="{520C4795-EDF3-D541-8FF8-07C2EC83E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ind w:left="144" w:right="14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16E6F"/>
    <w:pPr>
      <w:spacing w:after="160" w:line="259" w:lineRule="auto"/>
      <w:ind w:left="0" w:right="0"/>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7A32"/>
    <w:pPr>
      <w:spacing w:after="0" w:line="240" w:lineRule="auto"/>
      <w:ind w:left="144" w:right="144"/>
    </w:pPr>
    <w:rPr>
      <w:rFonts w:ascii="Lucida Grande" w:hAnsi="Lucida Grande" w:cs="Lucida Grande"/>
      <w:sz w:val="28"/>
      <w:szCs w:val="18"/>
    </w:rPr>
  </w:style>
  <w:style w:type="character" w:customStyle="1" w:styleId="BalloonTextChar">
    <w:name w:val="Balloon Text Char"/>
    <w:basedOn w:val="DefaultParagraphFont"/>
    <w:link w:val="BalloonText"/>
    <w:uiPriority w:val="99"/>
    <w:semiHidden/>
    <w:rsid w:val="005F7A32"/>
    <w:rPr>
      <w:rFonts w:ascii="Lucida Grande" w:hAnsi="Lucida Grande" w:cs="Lucida Grande"/>
      <w:szCs w:val="18"/>
    </w:rPr>
  </w:style>
  <w:style w:type="paragraph" w:styleId="FootnoteText">
    <w:name w:val="footnote text"/>
    <w:basedOn w:val="Normal"/>
    <w:link w:val="FootnoteTextChar"/>
    <w:uiPriority w:val="99"/>
    <w:unhideWhenUsed/>
    <w:rsid w:val="00F16E6F"/>
    <w:pPr>
      <w:spacing w:after="0" w:line="240" w:lineRule="auto"/>
    </w:pPr>
    <w:rPr>
      <w:sz w:val="20"/>
      <w:szCs w:val="20"/>
    </w:rPr>
  </w:style>
  <w:style w:type="character" w:customStyle="1" w:styleId="FootnoteTextChar">
    <w:name w:val="Footnote Text Char"/>
    <w:basedOn w:val="DefaultParagraphFont"/>
    <w:link w:val="FootnoteText"/>
    <w:uiPriority w:val="99"/>
    <w:rsid w:val="00F16E6F"/>
    <w:rPr>
      <w:rFonts w:asciiTheme="minorHAnsi" w:hAnsiTheme="minorHAnsi" w:cstheme="minorBidi"/>
      <w:sz w:val="20"/>
      <w:szCs w:val="20"/>
    </w:rPr>
  </w:style>
  <w:style w:type="character" w:styleId="FootnoteReference">
    <w:name w:val="footnote reference"/>
    <w:basedOn w:val="DefaultParagraphFont"/>
    <w:uiPriority w:val="99"/>
    <w:unhideWhenUsed/>
    <w:rsid w:val="00F16E6F"/>
    <w:rPr>
      <w:vertAlign w:val="superscript"/>
    </w:rPr>
  </w:style>
  <w:style w:type="paragraph" w:styleId="NormalWeb">
    <w:name w:val="Normal (Web)"/>
    <w:basedOn w:val="Normal"/>
    <w:uiPriority w:val="99"/>
    <w:unhideWhenUsed/>
    <w:rsid w:val="00F16E6F"/>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rsid w:val="00F16E6F"/>
    <w:pPr>
      <w:spacing w:after="0" w:line="240" w:lineRule="auto"/>
    </w:pPr>
    <w:rPr>
      <w:rFonts w:ascii="Calibri" w:eastAsia="Calibri" w:hAnsi="Calibri"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17</Pages>
  <Words>5485</Words>
  <Characters>31270</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Bloom</dc:creator>
  <cp:keywords/>
  <dc:description/>
  <cp:lastModifiedBy>Dan </cp:lastModifiedBy>
  <cp:revision>3</cp:revision>
  <dcterms:created xsi:type="dcterms:W3CDTF">2023-01-10T16:35:00Z</dcterms:created>
  <dcterms:modified xsi:type="dcterms:W3CDTF">2023-01-12T21:14:00Z</dcterms:modified>
</cp:coreProperties>
</file>